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73" w:rsidRPr="00CB0973" w:rsidRDefault="00CB0973" w:rsidP="00CB0973">
      <w:pPr>
        <w:shd w:val="clear" w:color="auto" w:fill="FFFFFF"/>
        <w:spacing w:after="24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по безопасному использованию газа при удовлетворении коммунально-бытовых нужд </w:t>
      </w:r>
    </w:p>
    <w:p w:rsidR="00CB0973" w:rsidRDefault="00CB0973" w:rsidP="00CB0973">
      <w:pPr>
        <w:shd w:val="clear" w:color="auto" w:fill="FFFFFF"/>
        <w:spacing w:after="12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Уважаемый потребитель газа!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помнить: от качества обслуживания и ремонта принадлежащего Вам газового оборудования зависит здоровье и безопасность Вас и Ваших близких.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последние время участились несчастные случаи, связанные с использованием газа в быту, </w:t>
      </w:r>
      <w:r w:rsidR="00B656BA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кроются в ненадлежащем техническом состоянии внутридомового газового оборудования (ВДГО). Для решения этой проблемы Правительство </w:t>
      </w:r>
      <w:r w:rsidR="0011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утвердило «Правила поставки газа для обеспечения коммунально-бытовых нужд граждан»</w:t>
      </w:r>
      <w:r w:rsidR="0011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Постановлением Правительства РФ от 14 мая 2013 г. №410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бонент обязан «обеспечивать надлежащее техническое состояние внутридомового газового оборудования, своевременно заключать договор о техническом обслуживании внутридомового газового оборудования и аварийно-диспетчерском обеспечении».</w:t>
      </w:r>
      <w:r w:rsidR="00CB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для потребителей газа 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имеющиеся газовые сети и газоиспользующее оборудование в жилых домах входят в состав </w:t>
      </w:r>
      <w:r w:rsidR="00DF07D2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ВДГО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 соответствии с действующим законодательством подразделяются на объекты:</w:t>
      </w:r>
    </w:p>
    <w:p w:rsidR="00CB0973" w:rsidRPr="00CB0973" w:rsidRDefault="00B656BA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0973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входящие в состав общего имущества собственников помещений (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0973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нутридомовые инженерные системы газоснабжения, состоящие из стояков, ответвлений от стояков до первого отключающего устройства, расположенного на ответвлениях от стояков, включая указанные отключающие устройства.</w:t>
      </w:r>
      <w:proofErr w:type="gramEnd"/>
      <w:r w:rsidR="00CB0973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границей сетей газоснабжения, входящих в состав общего имущества, является место соединения первого запорного устройства с внешней газораспределительной сетью)</w:t>
      </w:r>
    </w:p>
    <w:p w:rsidR="00CB0973" w:rsidRPr="00CB0973" w:rsidRDefault="00B656BA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0973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входящие в состав ВДГО абонента (газопроводы внутриквартирной разводки от первого отключающего устройства, расположенного на ответвлениях от стояков, и газоиспользующее оборудование для многоквартирных домов; от места врезки в газораспределительную сеть до газоиспользующего оборудования для жилого дома).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обязанность абонента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считаться исполненной надле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жащим образом в случае заключения со специализированной организацией договоров на техническое обслуживание и аварийно-диспетчерское обеспечение в отношении объектов ВДГО, входящих в состав общего имущества собственников помещений в многоквартирном доме, а также ВДГО абонента.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на обслуживание ВДГО, входящего в состав общего имущества, собственников помещений в многоквартирном доме, может быть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 как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организацией, осуществляющей управление МКД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 владельцем жилого помещения (квартиры) в многоквартирном доме (в случае, если жильцами выбран непосредственный способ управления).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 обслуживание газовых сетей и приборов внутри квартиры может быть заключен как владельцем жилого помещения, так и управляющей организацией (в случае поручения ей таких полномочий всеми собственниками квартир на общем собрании).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жилого дома обязан заключить со специализированной организацией договор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аварийно-диспетчерско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 отношении газоиспользующего оборудования (плиты, котлы, колонки), так и в отношении принадлежащих ему газовых сетей в соответствии с актом раздела границ.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нимание, что договор на 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ВДГО заключается со специализированной организацией, которой является газораспределительная организация, допущенная в установленном порядке к осуществлению деятельности по техническому обслуживанию внутридомового газового оборудования и имеющая аварийно-диспетчерскую службу. В Белгородской области специализированной организацией является ОАО «</w:t>
      </w:r>
      <w:proofErr w:type="spellStart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Белгородоблгаз</w:t>
      </w:r>
      <w:proofErr w:type="spellEnd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договора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внутридомового газового оборудования и аварийно — диспетчерско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DF07D2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F07D2"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поставщика газа. В этом случае поставщик газа не может быть уверен в том, что поставка газа такому абоненту безопасна. Для того чтобы побудить граждан позаботиться о собственной безопасности, им в настоящее время доставляют уведомления о необходимости заключе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договора на техобслуживание ВДГО 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 специализированными организациями. В случае его отсутствия поставщик газа «вправе в одностороннем порядке приостановить исполнение обязательств по поставке газа с предварительным письменным уведомлением абонента».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Населению важно помнить и соблюдать Правила пользования газом в быту, утвержденные Приказом ВО «</w:t>
      </w:r>
      <w:proofErr w:type="spellStart"/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Росстройгазификации</w:t>
      </w:r>
      <w:proofErr w:type="spellEnd"/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при Совете Министров РСФСР от 26 апреля 1990 г. </w:t>
      </w: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Потребитель газа обязан: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работы газовых приборов держать форточку открытой, не закрывать герметично двери и окна, следить за наличием тяги в дымоходах и вентиляционных каналах.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 нормальной работой газовых приборов, дымоходов и вентиляции, проверять тягу до включения и во время работы газовых приборов с отводом продуктов сгорания газа в 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дымоход. Перед пользованием газовой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печью проверять, открыт ли полностью шибер. Периодически очищать «карман» дымохода.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неисправности газового оборудования вызвать работников предприятия газового хозяйства.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Почувствовав запах газа в помещении отключить газовые приборы, открыть окно для проветривания помещения, не пользоваться открытым огнем, не включать и не выключать электроприборы и электроосвещение и из незагазованного помещения вызвать аварийную бригаду по телефону 04.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осмотра и ремонта газопроводов и газового оборудования допускать в квартиру работников предприятий газового хозяйства по предъявлении ими служебных удостоверений, а для ликвидации аварийных ситуаций — в любое время суток.</w:t>
      </w:r>
    </w:p>
    <w:p w:rsidR="00CB0973" w:rsidRPr="00CB0973" w:rsidRDefault="00CB0973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вмешательства подозрительных и посторонних лиц в работу и целостность систем газоснабжения (газопроводов, отключающих устройств, газового оборудования) незамедлительно сообщите в аварийную службу по телефону </w:t>
      </w:r>
      <w:r w:rsidR="00D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DF0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лицию по телефону 102, или в единую служ</w:t>
      </w:r>
      <w:bookmarkStart w:id="0" w:name="_GoBack"/>
      <w:bookmarkEnd w:id="0"/>
      <w:r w:rsidR="00D5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спасения - 112</w:t>
      </w: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973" w:rsidRPr="00CB0973" w:rsidRDefault="00CB0973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Населению запрещается: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самовольную газификацию дома (квартиры, садового домика), перестановку, замену и ремонт газовых приборов, баллонов и запорной арматуры, монтаж и демонтаж приборов учета газа.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перепланировку помещения, где установлены газовые приборы, без согласования с соответствующими организациями.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изменения в конструкцию газовых приборов. Изменять устройство дымовых и вентиляционных систем. Заклеивать вентиляционные каналы, замуровывать или заклеивать «карманы» и люки, предназначенные для чистки дымоходов.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дымоходы и вентиляционные каналы для принудительного отвода продуктов испарений при </w:t>
      </w:r>
      <w:proofErr w:type="spellStart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пищеприготовлении</w:t>
      </w:r>
      <w:proofErr w:type="spellEnd"/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электрических вытяжек.</w:t>
      </w:r>
    </w:p>
    <w:p w:rsidR="00CB0973" w:rsidRPr="00CB0973" w:rsidRDefault="00CB0973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газовую плиту для обогрева помещения.</w:t>
      </w:r>
    </w:p>
    <w:p w:rsidR="00AD6F55" w:rsidRDefault="00CB0973" w:rsidP="00AD6F5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Style w:val="h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баллоны сжиженного газа в квартирах, подвалах, гаражах, на балконах и лоджиях.</w:t>
      </w:r>
    </w:p>
    <w:p w:rsidR="00AD6F55" w:rsidRPr="00AD6F55" w:rsidRDefault="00AD6F55" w:rsidP="00AD6F55">
      <w:pPr>
        <w:shd w:val="clear" w:color="auto" w:fill="FFFFFF"/>
        <w:spacing w:before="75" w:after="75" w:line="240" w:lineRule="auto"/>
        <w:ind w:firstLine="851"/>
        <w:jc w:val="both"/>
        <w:rPr>
          <w:rStyle w:val="h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нарушающие Правила пользования газом в быту, создают угрозу жизни и </w:t>
      </w:r>
      <w:proofErr w:type="gramStart"/>
      <w:r w:rsidRPr="00AD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здоровью</w:t>
      </w:r>
      <w:proofErr w:type="gramEnd"/>
      <w:r w:rsidRPr="00AD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окружающим и несут административную и уголовную ответственность в соответствии с действующим законодательством.</w:t>
      </w:r>
    </w:p>
    <w:p w:rsidR="00E0268D" w:rsidRPr="00C2062E" w:rsidRDefault="00AD6F55" w:rsidP="00C206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62E">
        <w:rPr>
          <w:rFonts w:ascii="Times New Roman" w:hAnsi="Times New Roman" w:cs="Times New Roman"/>
          <w:sz w:val="28"/>
          <w:szCs w:val="28"/>
        </w:rPr>
        <w:t>Так</w:t>
      </w:r>
      <w:r w:rsidR="00E0268D" w:rsidRPr="00C2062E">
        <w:rPr>
          <w:rFonts w:ascii="Times New Roman" w:hAnsi="Times New Roman" w:cs="Times New Roman"/>
          <w:sz w:val="28"/>
          <w:szCs w:val="28"/>
        </w:rPr>
        <w:t>, в соответствии с КоАП РФ, Статьей 9.23</w:t>
      </w:r>
      <w:r w:rsidRPr="00C2062E">
        <w:rPr>
          <w:rFonts w:ascii="Times New Roman" w:hAnsi="Times New Roman" w:cs="Times New Roman"/>
          <w:sz w:val="28"/>
          <w:szCs w:val="28"/>
        </w:rPr>
        <w:t xml:space="preserve"> «Нарушение правил обеспечения безопасного использования и содержания внутридомового и внутриквартирного газового оборудования»:</w:t>
      </w:r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перечень</w:t>
      </w:r>
      <w:proofErr w:type="gramStart"/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bookmarkStart w:id="1" w:name="dst7473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договора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является обязательным, -</w:t>
      </w:r>
      <w:bookmarkStart w:id="2" w:name="dst7475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  <w:proofErr w:type="gramEnd"/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7476"/>
      <w:bookmarkEnd w:id="3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Отказ 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допуске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  <w:bookmarkStart w:id="4" w:name="dst7477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</w:t>
      </w:r>
      <w:proofErr w:type="gramEnd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 юридических лиц - от сорока тысяч до ста тысяч рублей.</w:t>
      </w:r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7478"/>
      <w:bookmarkEnd w:id="5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правилами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bookmarkStart w:id="6" w:name="dst7479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</w:t>
      </w:r>
      <w:proofErr w:type="gramEnd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7480"/>
      <w:bookmarkEnd w:id="7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Действия (бездействие), предусмотренные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частями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1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–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настоящей статьи, приведшие к аварии или возникновению непосредственной угрозы причинения вреда жизни или здоровью людей, -</w:t>
      </w:r>
      <w:bookmarkStart w:id="8" w:name="dst7481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тысяч рублей; на юридических лиц - от ста тысяч до четырехсот тысяч рублей.</w:t>
      </w:r>
      <w:proofErr w:type="gramEnd"/>
    </w:p>
    <w:p w:rsidR="00AD6F55" w:rsidRPr="00AD6F55" w:rsidRDefault="00AD6F55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7482"/>
      <w:bookmarkEnd w:id="9"/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6. Повторное совершение административного правонарушения, предусмотренного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частями 1-4</w:t>
      </w:r>
      <w:r w:rsidRPr="00AD6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настоящей статьи, -</w:t>
      </w:r>
      <w:bookmarkStart w:id="10" w:name="dst7483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68D" w:rsidRDefault="00E0268D" w:rsidP="00AD6F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7474"/>
      <w:bookmarkEnd w:id="11"/>
    </w:p>
    <w:p w:rsidR="0053655E" w:rsidRPr="0053655E" w:rsidRDefault="0053655E" w:rsidP="0053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5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пожарный надзор </w:t>
      </w:r>
      <w:proofErr w:type="spellStart"/>
      <w:r w:rsidRPr="0053655E">
        <w:rPr>
          <w:rFonts w:ascii="Times New Roman" w:eastAsia="Times New Roman" w:hAnsi="Times New Roman"/>
          <w:sz w:val="28"/>
          <w:szCs w:val="28"/>
          <w:lang w:eastAsia="ru-RU"/>
        </w:rPr>
        <w:t>Чернянского</w:t>
      </w:r>
      <w:proofErr w:type="spellEnd"/>
      <w:r w:rsidRPr="005365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53655E" w:rsidRPr="0053655E" w:rsidRDefault="0053655E" w:rsidP="00AD6F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55E" w:rsidRPr="0053655E" w:rsidSect="000E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7315"/>
    <w:multiLevelType w:val="multilevel"/>
    <w:tmpl w:val="A0E6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448E3"/>
    <w:multiLevelType w:val="multilevel"/>
    <w:tmpl w:val="F50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63"/>
    <w:rsid w:val="000E628D"/>
    <w:rsid w:val="00113A4E"/>
    <w:rsid w:val="00296C33"/>
    <w:rsid w:val="0053655E"/>
    <w:rsid w:val="005E74F0"/>
    <w:rsid w:val="00A41818"/>
    <w:rsid w:val="00AD6F55"/>
    <w:rsid w:val="00B656BA"/>
    <w:rsid w:val="00C2062E"/>
    <w:rsid w:val="00CB0973"/>
    <w:rsid w:val="00CB66FF"/>
    <w:rsid w:val="00CB70CB"/>
    <w:rsid w:val="00D42663"/>
    <w:rsid w:val="00D57384"/>
    <w:rsid w:val="00DF07D2"/>
    <w:rsid w:val="00E0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D"/>
  </w:style>
  <w:style w:type="paragraph" w:styleId="1">
    <w:name w:val="heading 1"/>
    <w:basedOn w:val="a"/>
    <w:link w:val="10"/>
    <w:uiPriority w:val="9"/>
    <w:qFormat/>
    <w:rsid w:val="00CB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0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9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973"/>
  </w:style>
  <w:style w:type="character" w:customStyle="1" w:styleId="blk">
    <w:name w:val="blk"/>
    <w:basedOn w:val="a0"/>
    <w:rsid w:val="00E0268D"/>
  </w:style>
  <w:style w:type="character" w:customStyle="1" w:styleId="hl">
    <w:name w:val="hl"/>
    <w:basedOn w:val="a0"/>
    <w:rsid w:val="00E0268D"/>
  </w:style>
  <w:style w:type="character" w:styleId="a4">
    <w:name w:val="Hyperlink"/>
    <w:basedOn w:val="a0"/>
    <w:uiPriority w:val="99"/>
    <w:semiHidden/>
    <w:unhideWhenUsed/>
    <w:rsid w:val="00E02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0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9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973"/>
  </w:style>
  <w:style w:type="character" w:customStyle="1" w:styleId="blk">
    <w:name w:val="blk"/>
    <w:basedOn w:val="a0"/>
    <w:rsid w:val="00E0268D"/>
  </w:style>
  <w:style w:type="character" w:customStyle="1" w:styleId="hl">
    <w:name w:val="hl"/>
    <w:basedOn w:val="a0"/>
    <w:rsid w:val="00E0268D"/>
  </w:style>
  <w:style w:type="character" w:styleId="a4">
    <w:name w:val="Hyperlink"/>
    <w:basedOn w:val="a0"/>
    <w:uiPriority w:val="99"/>
    <w:semiHidden/>
    <w:unhideWhenUsed/>
    <w:rsid w:val="00E026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</dc:creator>
  <cp:keywords/>
  <dc:description/>
  <cp:lastModifiedBy>WorkPC</cp:lastModifiedBy>
  <cp:revision>15</cp:revision>
  <cp:lastPrinted>2017-02-07T08:24:00Z</cp:lastPrinted>
  <dcterms:created xsi:type="dcterms:W3CDTF">2017-02-03T09:07:00Z</dcterms:created>
  <dcterms:modified xsi:type="dcterms:W3CDTF">2017-03-06T13:39:00Z</dcterms:modified>
</cp:coreProperties>
</file>