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БЕЛГОРОДСКАЯ ОБЛАСТЬ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ЧЕРНЯНСКИЙ РАЙОН</w:t>
      </w: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14"/>
          <w:szCs w:val="28"/>
          <w:lang w:eastAsia="ru-RU"/>
        </w:rPr>
      </w:pPr>
      <w:r>
        <w:rPr>
          <w:rFonts w:ascii="Calibri" w:hAnsi="Calibri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2818765</wp:posOffset>
                </wp:positionH>
                <wp:positionV relativeFrom="margin">
                  <wp:posOffset>420370</wp:posOffset>
                </wp:positionV>
                <wp:extent cx="476885" cy="612140"/>
                <wp:effectExtent l="19050" t="0" r="0" b="0"/>
                <wp:wrapTopAndBottom/>
                <wp:docPr id="1" name="Рисунок 5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0">
                          <a:clrChange>
                            <a:clrFrom>
                              <a:srgbClr val="D4D4D4"/>
                            </a:clrFrom>
                            <a:clrTo>
                              <a:srgbClr val="D4D4D4">
                                <a:alpha val="0"/>
                              </a:srgbClr>
                            </a:clrTo>
                          </a:clrChange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47688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36736;o:allowoverlap:true;o:allowincell:true;mso-position-horizontal-relative:margin;margin-left:221.9pt;mso-position-horizontal:absolute;mso-position-vertical-relative:margin;margin-top:33.1pt;mso-position-vertical:absolute;width:37.5pt;height:48.2pt;mso-wrap-distance-left:9.0pt;mso-wrap-distance-top:0.0pt;mso-wrap-distance-right:9.0pt;mso-wrap-distance-bottom:0.0pt;" stroked="false">
                <v:path textboxrect="0,0,0,0"/>
                <w10:wrap type="topAndBottom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sz w:val="14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АДМИНИСТРАЦИЯ МУНИЦИПАЛЬНОГО РАЙОНА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 xml:space="preserve">"ЧЕРНЯНСКИЙ РАЙОН" БЕЛГОРОДСКОЙ ОБЛАСТИ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/>
        <w:shd w:val="clear" w:color="auto" w:fill="ffffff"/>
        <w:widowControl w:val="off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п. Чернянка</w:t>
      </w:r>
      <w:r>
        <w:rPr>
          <w:rFonts w:ascii="Times New Roman" w:hAnsi="Times New Roman"/>
          <w:b/>
          <w:lang w:eastAsia="ru-RU"/>
        </w:rPr>
      </w:r>
      <w:r/>
    </w:p>
    <w:p>
      <w:pPr>
        <w:ind w:hanging="751"/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shd w:val="clear" w:color="auto" w:fill="ffffff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"       "                   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г.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№  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«Чернянский район» Белгородской области от 27.03.2023 г. № 147 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highlight w:val="none"/>
          <w:lang w:eastAsia="ru-RU"/>
        </w:rPr>
      </w:r>
      <w:r/>
    </w:p>
    <w:p>
      <w:pPr>
        <w:contextualSpacing w:val="0"/>
        <w:jc w:val="both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</w:rPr>
        <w:suppressLineNumbers w:val="0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Жилищным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кодексом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27 июля 2010 г. № 210-ФЗ «Об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Федеральным законом от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19 декабря 2023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№ 608-ФЗ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Жилищный кодекс Российской Федерации и Федеральный закон "О государственной регистрации недвижимости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в целях приведение муниципальных правовых актов в соответствие с действующим законодательством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а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дминистрация муниципального района «Чернянский район»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  <w:lang w:eastAsia="ru-RU"/>
        </w:rPr>
        <w:t xml:space="preserve">Белгородской области</w:t>
      </w:r>
      <w:r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 xml:space="preserve"> постановляет: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следующие изменения в постановление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администрации муниципального района «Чернянский район» Белгородской области от 27.03.2023 г. № 147 «Об утверждении административного регламента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Прием документов, а также выдача решений о переводе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или об отказе в переводе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жилого помещения в нежилое помещение 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ли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нежи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лого помещения в жилое помещение":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color w:val="000000"/>
          <w:sz w:val="28"/>
          <w:lang w:eastAsia="ru-RU"/>
        </w:rPr>
        <w:t xml:space="preserve">           1.1. В административный регламент предоставления   муниципальной услуги 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 w:val="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рием документов, а также выдача решений о переводе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или об отказе в переводе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жилого помещения в нежилое помещение и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ли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нежи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лого помещения в жилое помещение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» (далее – Административный регламент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утвержденный пунктом 1 постановления: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         1.1.1.</w:t>
      </w:r>
      <w:r>
        <w:rPr>
          <w:rFonts w:ascii="Times New Roman" w:hAnsi="Times New Roman" w:cs="Times New Roman"/>
          <w:sz w:val="28"/>
          <w:szCs w:val="28"/>
        </w:rPr>
        <w:t xml:space="preserve"> Пункт 3.3.4. подраздела 3.3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дополнить подпункт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ами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3.3.4.5.-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3.3.4.6.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с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ледующего содержания: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         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«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3.3.4.5. В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случа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е,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если для обеспечения использования помещения в качестве  нежилого помещения не требуется проведение его переустройства, и (или) перепланировки, и (или) иных работ, уведомление о переводе жилого помещения в нежилое помещение, подтверждающее приня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тие решения о переводе жилого помещения в нежилое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о дня внесения соответствующих изменений в сведения Единого государственного реестра недвижимости о назначении такого помещения</w:t>
      </w:r>
      <w:r/>
    </w:p>
    <w:p>
      <w:pPr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highlight w:val="non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3.3.4.6.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Если для использования помещения в качестве нежилого помещения требуется проведение его переустройства, и (или) перепланировки, и (или) иных работ,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уведомление о переводе жилого помещения в нежилое помещение,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основанием проведения соответствующих пер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еустройства, и (или) перепланировки с учетом проекта переустройства и (или) перепланировки, представлявшегося заявителем и (или) иных работ с учетом перечня таких работ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highlight w:val="white"/>
        </w:rPr>
      </w:pPr>
      <w:r>
        <w:t xml:space="preserve">             </w:t>
      </w:r>
      <w:r>
        <w:rPr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1.1.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Пункт 3.4.4. подраздела 3.4.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Административного регламента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дополнить подпункт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ами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3.4.4.5.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-3.4.4.6.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следующего содержания: </w:t>
      </w:r>
      <w:r>
        <w:rPr>
          <w:highlight w:val="white"/>
        </w:rPr>
      </w:r>
    </w:p>
    <w:p>
      <w:pPr>
        <w:jc w:val="both"/>
        <w:spacing w:after="0" w:line="240" w:lineRule="auto"/>
        <w:widowControl w:val="off"/>
        <w:tabs>
          <w:tab w:val="left" w:pos="850" w:leader="none"/>
        </w:tabs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          «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3.4.4.5. В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случае,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если для о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беспечения использования помещения в качестве нежилого помещения не требуется проведение его переустройства, и (или) перепланировки, и (или) иных работ, уведомление о переводе жилого помещения в нежилое помещение, подтверждающее приня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тие решения о переводе жилого помещения в нежилое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о дня внесения соответствующих изменений в сведения Единого государственного реестра недвижимости о назначении такого помещения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3.4.4.6.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Если для использования помещения в качестве нежилого помещения требуется проведение его переустройства, и (или) перепланировки, и (или) иных работ,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уведомление о переводе жилого помещения в нежилое помещение,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основанием проведения соответствующих пер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еустройства, и (или) перепланировки с учетом проекта переустройства и (или) перепланировки, представлявшегося заявителем и (или) иных работ с учетом перечня таких работ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</w:pPr>
      <w:r>
        <w:t xml:space="preserve">                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1.1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Пункт 3.5.4. подраздела 3.5.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дополнить подпункт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ами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3.5.4.5.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-3.5.4.6.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следующего содержания: </w:t>
      </w:r>
      <w:r/>
    </w:p>
    <w:p>
      <w:pPr>
        <w:jc w:val="both"/>
        <w:spacing w:after="0" w:line="240" w:lineRule="auto"/>
        <w:widowControl w:val="off"/>
        <w:tabs>
          <w:tab w:val="left" w:pos="850" w:leader="none"/>
        </w:tabs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            «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3.5.4.5. В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случае,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если для обеспечения использования помещения в качестве жилого помещения не требуется проведение его переустройства, и (или) перепланировки, и (или) иных работ, уведомление о переводе нежилого помещения в жилое помещение, подтверждающее приня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тие решения о переводе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о дня внесения соответствующих изменений в сведения Единого государственного реестра недвижимости о назначении такого помещения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 w:val="0"/>
          <w:bCs w:val="0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3.5.4.6.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Если для использования помещения в качестве жилого помещения требуется проведение его переустройства, и (или) перепланировки, и (или) иных работ,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уведомление о переводе нежилого помещения в жилое помещение,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основанием проведения соответствующих пер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еустройства, и (или) перепланировки с учетом проекта переустройства и (или) перепланировки, представлявшегося заявителем и (или) иных работ с учетом перечня таких работ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 w:eastAsia="Times New Roman" w:cs="Times New Roman"/>
          <w:b w:val="0"/>
          <w:bCs w:val="0"/>
          <w:highlight w:val="none"/>
        </w:rPr>
      </w:r>
      <w:r/>
    </w:p>
    <w:p>
      <w:pPr>
        <w:jc w:val="both"/>
        <w:spacing w:after="0" w:line="240" w:lineRule="auto"/>
        <w:widowControl w:val="off"/>
      </w:pPr>
      <w:r>
        <w:t xml:space="preserve">  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       1.1.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Пункт 3.6.4. подраздела 3.6.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дополнить подпункт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ами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3.6.4.5.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-3.6.4.6.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с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ледующего содержания: </w:t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           «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3.6.4.5. В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случае,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 если для обеспечения использования помещения в качестве жилого помещения не требуется проведение его переустройства, и (или) перепланировки, и (или) иных работ, уведомление о переводе нежилого помещения в жилое помещение, подтверждающее приня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тие решения о переводе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о дня внесения соответствующих изменений в сведения Единого государственного реестра недвижимости о назначении такого помещения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3.6.4.6.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Если для использования помещения в качестве жилого помещения требуется проведение его переустройства, и (или) перепланировки, и (или) иных работ, </w:t>
      </w:r>
      <w:r>
        <w:rPr>
          <w:rFonts w:ascii="Times New Roman" w:hAnsi="Times New Roman" w:eastAsia="Times New Roman" w:cs="Times New Roman"/>
          <w:b w:val="0"/>
          <w:sz w:val="28"/>
          <w:szCs w:val="28"/>
          <w:highlight w:val="none"/>
        </w:rPr>
        <w:t xml:space="preserve">уведомление о переводе нежилого помещения в жилое помещение,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основанием проведения соответствующих пер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еустройства, и (или) перепланировки с учетом проекта переустройства и (или) перепланировки, представлявшегося заявителем и (или) иных работ с учетом перечня таких работ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  <w:t xml:space="preserve">публиковать настоящее постановление в сетевом издании «Приосколье 31» (адрес Интернет-сайта: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  <w:t xml:space="preserve">http://www.GAZETA-PRIOSKOLYE.RU),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  <w:t xml:space="preserve"> разместить на официальном сайте органов местного само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  <w:t xml:space="preserve">управления муниципального района «Чернянский район» Белгородской области (адрес Интернет-сайта: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uto"/>
        </w:rPr>
      </w:r>
      <w:hyperlink r:id="rId11" w:tooltip="https://chernyanskijrajon-r31.gosweb.gosuslugi.ru)" w:history="1">
        <w:r>
          <w:rPr>
            <w:rStyle w:val="90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auto"/>
          </w:rPr>
          <w:t xml:space="preserve">https://chernyanskijrajon-r31.gosweb.gosuslugi.ru</w:t>
        </w:r>
        <w:r>
          <w:rPr>
            <w:rStyle w:val="90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auto"/>
          </w:rPr>
          <w:t xml:space="preserve">)</w:t>
        </w:r>
        <w:r>
          <w:rPr>
            <w:rStyle w:val="904"/>
            <w:rFonts w:ascii="Times New Roman" w:hAnsi="Times New Roman" w:eastAsia="Calibri"/>
            <w:sz w:val="28"/>
            <w:szCs w:val="28"/>
            <w:lang w:eastAsia="ru-RU"/>
          </w:rPr>
        </w:r>
      </w:hyperlink>
      <w:r>
        <w:rPr>
          <w:rFonts w:ascii="Times New Roman" w:hAnsi="Times New Roman" w:eastAsia="Calibri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 установленном 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порядке</w:t>
      </w:r>
      <w:r>
        <w:rPr>
          <w:rFonts w:ascii="Times New Roman" w:hAnsi="Times New Roman" w:eastAsia="Calibri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cyan"/>
        </w:rPr>
      </w:r>
      <w:r/>
    </w:p>
    <w:p>
      <w:pPr>
        <w:ind w:right="3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  <w: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официальн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ого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опубликования</w:t>
      </w:r>
      <w:r>
        <w:rPr>
          <w:rFonts w:ascii="Times New Roman" w:hAnsi="Times New Roman"/>
          <w:bCs/>
          <w:sz w:val="28"/>
          <w:szCs w:val="28"/>
          <w:highlight w:val="white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</w:r>
      <w:r>
        <w:rPr>
          <w:highlight w:val="white"/>
        </w:rPr>
      </w:r>
    </w:p>
    <w:p>
      <w:pPr>
        <w:ind w:right="3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первого заместителя главы администрации Чернянского района по </w:t>
      </w:r>
      <w:r>
        <w:rPr>
          <w:rFonts w:ascii="Times New Roman" w:hAnsi="Times New Roman"/>
          <w:sz w:val="28"/>
          <w:szCs w:val="28"/>
          <w:lang w:eastAsia="ru-RU"/>
        </w:rPr>
      </w:r>
      <w:r/>
      <w:r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проектов и программ в строительстве и градостроительной деятельности (Морозов С.А.).</w:t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right="3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p>
      <w:pPr>
        <w:ind w:right="3" w:firstLine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sz w:val="28"/>
          <w:szCs w:val="28"/>
          <w:highlight w:val="none"/>
          <w:lang w:eastAsia="ru-RU"/>
        </w:rPr>
      </w:r>
      <w:r/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3084"/>
        <w:gridCol w:w="3827"/>
        <w:gridCol w:w="2977"/>
      </w:tblGrid>
      <w:tr>
        <w:trPr/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Глава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Чернянского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.П. Круглякова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5-11T08:09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Либо где-то выше указать: делоее -Орган, либо поменять по всему тексту на Администрацию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13E31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imSun">
    <w:panose1 w:val="02000506000000020000"/>
  </w:font>
  <w:font w:name="Liberation Serif">
    <w:panose1 w:val="02020603050405020304"/>
  </w:font>
  <w:font w:name="Cambria">
    <w:panose1 w:val="02040503050406030204"/>
  </w:font>
  <w:font w:name="Times New Roman">
    <w:panose1 w:val="02020603050405020304"/>
  </w:font>
  <w:font w:name="Tahoma">
    <w:panose1 w:val="020B0604030504040204"/>
  </w:font>
  <w:font w:name="Mangal">
    <w:panose1 w:val="02040503050306020203"/>
  </w:font>
  <w:font w:name="Courier New">
    <w:panose1 w:val="02070309020205020404"/>
  </w:font>
  <w:font w:name="Calibri">
    <w:panose1 w:val="020F0502020204030204"/>
  </w:font>
  <w:font w:name="timesnewromanpsmt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709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709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709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3.%1"/>
      <w:lvlJc w:val="left"/>
      <w:pPr>
        <w:ind w:left="128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3.2.%1"/>
      <w:lvlJc w:val="left"/>
      <w:pPr>
        <w:ind w:left="1287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4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egacy w:legacy="1" w:legacyIndent="436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21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709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0" w:hanging="360"/>
      </w:pPr>
      <w:rPr>
        <w:rFonts w:hint="default" w:eastAsia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75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56" w:hanging="864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248" w:hanging="864"/>
      </w:pPr>
      <w:rPr>
        <w:rFonts w:hint="default"/>
      </w:rPr>
    </w:lvl>
    <w:lvl w:ilvl="3">
      <w:start w:val="4"/>
      <w:numFmt w:val="decimal"/>
      <w:isLgl w:val="false"/>
      <w:suff w:val="tab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0" w:firstLine="709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2"/>
  </w:num>
  <w:num w:numId="3">
    <w:abstractNumId w:val="34"/>
  </w:num>
  <w:num w:numId="4">
    <w:abstractNumId w:val="18"/>
  </w:num>
  <w:num w:numId="5">
    <w:abstractNumId w:val="14"/>
  </w:num>
  <w:num w:numId="6">
    <w:abstractNumId w:val="17"/>
  </w:num>
  <w:num w:numId="7">
    <w:abstractNumId w:val="6"/>
  </w:num>
  <w:num w:numId="8">
    <w:abstractNumId w:val="29"/>
  </w:num>
  <w:num w:numId="9">
    <w:abstractNumId w:val="23"/>
  </w:num>
  <w:num w:numId="10">
    <w:abstractNumId w:val="9"/>
  </w:num>
  <w:num w:numId="11">
    <w:abstractNumId w:val="11"/>
  </w:num>
  <w:num w:numId="12">
    <w:abstractNumId w:val="8"/>
  </w:num>
  <w:num w:numId="13">
    <w:abstractNumId w:val="33"/>
  </w:num>
  <w:num w:numId="14">
    <w:abstractNumId w:val="18"/>
  </w:num>
  <w:num w:numId="15">
    <w:abstractNumId w:val="14"/>
  </w:num>
  <w:num w:numId="16">
    <w:abstractNumId w:val="29"/>
  </w:num>
  <w:num w:numId="17">
    <w:abstractNumId w:val="23"/>
  </w:num>
  <w:num w:numId="18">
    <w:abstractNumId w:val="33"/>
  </w:num>
  <w:num w:numId="19">
    <w:abstractNumId w:val="2"/>
  </w:num>
  <w:num w:numId="20">
    <w:abstractNumId w:val="0"/>
  </w:num>
  <w:num w:numId="21">
    <w:abstractNumId w:val="27"/>
  </w:num>
  <w:num w:numId="22">
    <w:abstractNumId w:val="1"/>
  </w:num>
  <w:num w:numId="23">
    <w:abstractNumId w:val="32"/>
  </w:num>
  <w:num w:numId="24">
    <w:abstractNumId w:val="7"/>
  </w:num>
  <w:num w:numId="25">
    <w:abstractNumId w:val="26"/>
  </w:num>
  <w:num w:numId="26">
    <w:abstractNumId w:val="25"/>
  </w:num>
  <w:num w:numId="27">
    <w:abstractNumId w:val="12"/>
  </w:num>
  <w:num w:numId="28">
    <w:abstractNumId w:val="5"/>
  </w:num>
  <w:num w:numId="29">
    <w:abstractNumId w:val="4"/>
  </w:num>
  <w:num w:numId="30">
    <w:abstractNumId w:val="13"/>
  </w:num>
  <w:num w:numId="31">
    <w:abstractNumId w:val="24"/>
  </w:num>
  <w:num w:numId="32">
    <w:abstractNumId w:val="16"/>
  </w:num>
  <w:num w:numId="33">
    <w:abstractNumId w:val="15"/>
  </w:num>
  <w:num w:numId="34">
    <w:abstractNumId w:val="3"/>
  </w:num>
  <w:num w:numId="35">
    <w:abstractNumId w:val="28"/>
  </w:num>
  <w:num w:numId="36">
    <w:abstractNumId w:val="10"/>
  </w:num>
  <w:num w:numId="37">
    <w:abstractNumId w:val="21"/>
  </w:num>
  <w:num w:numId="38">
    <w:abstractNumId w:val="31"/>
  </w:num>
  <w:num w:numId="39">
    <w:abstractNumId w:val="20"/>
  </w:num>
  <w:num w:numId="40">
    <w:abstractNumId w:val="3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Teamlab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Title Char"/>
    <w:basedOn w:val="722"/>
    <w:link w:val="747"/>
    <w:uiPriority w:val="10"/>
    <w:rPr>
      <w:sz w:val="48"/>
      <w:szCs w:val="48"/>
    </w:rPr>
  </w:style>
  <w:style w:type="character" w:styleId="726" w:customStyle="1">
    <w:name w:val="Subtitle Char"/>
    <w:basedOn w:val="722"/>
    <w:link w:val="749"/>
    <w:uiPriority w:val="11"/>
    <w:rPr>
      <w:sz w:val="24"/>
      <w:szCs w:val="24"/>
    </w:rPr>
  </w:style>
  <w:style w:type="character" w:styleId="727" w:customStyle="1">
    <w:name w:val="Quote Char"/>
    <w:link w:val="751"/>
    <w:uiPriority w:val="29"/>
    <w:rPr>
      <w:i/>
    </w:rPr>
  </w:style>
  <w:style w:type="character" w:styleId="728" w:customStyle="1">
    <w:name w:val="Intense Quote Char"/>
    <w:link w:val="753"/>
    <w:uiPriority w:val="30"/>
    <w:rPr>
      <w:i/>
    </w:rPr>
  </w:style>
  <w:style w:type="paragraph" w:styleId="729" w:customStyle="1">
    <w:name w:val="Heading 1"/>
    <w:basedOn w:val="721"/>
    <w:next w:val="721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30" w:customStyle="1">
    <w:name w:val="Heading 1 Char"/>
    <w:basedOn w:val="722"/>
    <w:link w:val="729"/>
    <w:uiPriority w:val="9"/>
    <w:rPr>
      <w:rFonts w:ascii="Arial" w:hAnsi="Arial" w:eastAsia="Arial" w:cs="Arial"/>
      <w:sz w:val="40"/>
      <w:szCs w:val="40"/>
    </w:rPr>
  </w:style>
  <w:style w:type="paragraph" w:styleId="731" w:customStyle="1">
    <w:name w:val="Heading 2"/>
    <w:basedOn w:val="721"/>
    <w:next w:val="721"/>
    <w:link w:val="73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32" w:customStyle="1">
    <w:name w:val="Heading 2 Char"/>
    <w:basedOn w:val="722"/>
    <w:link w:val="731"/>
    <w:uiPriority w:val="9"/>
    <w:rPr>
      <w:rFonts w:ascii="Arial" w:hAnsi="Arial" w:eastAsia="Arial" w:cs="Arial"/>
      <w:sz w:val="34"/>
    </w:rPr>
  </w:style>
  <w:style w:type="paragraph" w:styleId="733" w:customStyle="1">
    <w:name w:val="Heading 3"/>
    <w:basedOn w:val="721"/>
    <w:next w:val="721"/>
    <w:link w:val="73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34" w:customStyle="1">
    <w:name w:val="Heading 3 Char"/>
    <w:basedOn w:val="722"/>
    <w:link w:val="733"/>
    <w:uiPriority w:val="9"/>
    <w:rPr>
      <w:rFonts w:ascii="Arial" w:hAnsi="Arial" w:eastAsia="Arial" w:cs="Arial"/>
      <w:sz w:val="30"/>
      <w:szCs w:val="30"/>
    </w:rPr>
  </w:style>
  <w:style w:type="paragraph" w:styleId="735" w:customStyle="1">
    <w:name w:val="Heading 4"/>
    <w:basedOn w:val="721"/>
    <w:next w:val="721"/>
    <w:link w:val="73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Heading 4 Char"/>
    <w:basedOn w:val="722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 w:customStyle="1">
    <w:name w:val="Heading 5"/>
    <w:basedOn w:val="721"/>
    <w:next w:val="721"/>
    <w:link w:val="73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Heading 5 Char"/>
    <w:basedOn w:val="722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 w:customStyle="1">
    <w:name w:val="Heading 6"/>
    <w:basedOn w:val="721"/>
    <w:next w:val="721"/>
    <w:link w:val="74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40" w:customStyle="1">
    <w:name w:val="Heading 6 Char"/>
    <w:basedOn w:val="722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 w:customStyle="1">
    <w:name w:val="Heading 7"/>
    <w:basedOn w:val="721"/>
    <w:next w:val="721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42" w:customStyle="1">
    <w:name w:val="Heading 7 Char"/>
    <w:basedOn w:val="722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 w:customStyle="1">
    <w:name w:val="Heading 8"/>
    <w:basedOn w:val="721"/>
    <w:next w:val="721"/>
    <w:link w:val="74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44" w:customStyle="1">
    <w:name w:val="Heading 8 Char"/>
    <w:basedOn w:val="722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 w:customStyle="1">
    <w:name w:val="Heading 9"/>
    <w:basedOn w:val="721"/>
    <w:next w:val="721"/>
    <w:link w:val="74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customStyle="1">
    <w:name w:val="Heading 9 Char"/>
    <w:basedOn w:val="722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Title"/>
    <w:basedOn w:val="721"/>
    <w:next w:val="721"/>
    <w:link w:val="748"/>
    <w:uiPriority w:val="10"/>
    <w:qFormat/>
    <w:pPr>
      <w:contextualSpacing/>
      <w:spacing w:before="300"/>
    </w:pPr>
    <w:rPr>
      <w:sz w:val="48"/>
      <w:szCs w:val="48"/>
    </w:rPr>
  </w:style>
  <w:style w:type="character" w:styleId="748" w:customStyle="1">
    <w:name w:val="Название Знак"/>
    <w:basedOn w:val="722"/>
    <w:link w:val="747"/>
    <w:uiPriority w:val="10"/>
    <w:rPr>
      <w:sz w:val="48"/>
      <w:szCs w:val="48"/>
    </w:rPr>
  </w:style>
  <w:style w:type="paragraph" w:styleId="749">
    <w:name w:val="Subtitle"/>
    <w:basedOn w:val="721"/>
    <w:next w:val="721"/>
    <w:link w:val="750"/>
    <w:uiPriority w:val="11"/>
    <w:qFormat/>
    <w:pPr>
      <w:spacing w:before="200"/>
    </w:pPr>
    <w:rPr>
      <w:sz w:val="24"/>
      <w:szCs w:val="24"/>
    </w:rPr>
  </w:style>
  <w:style w:type="character" w:styleId="750" w:customStyle="1">
    <w:name w:val="Подзаголовок Знак"/>
    <w:basedOn w:val="722"/>
    <w:link w:val="749"/>
    <w:uiPriority w:val="11"/>
    <w:rPr>
      <w:sz w:val="24"/>
      <w:szCs w:val="24"/>
    </w:rPr>
  </w:style>
  <w:style w:type="paragraph" w:styleId="751">
    <w:name w:val="Quote"/>
    <w:basedOn w:val="721"/>
    <w:next w:val="721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1"/>
    <w:next w:val="721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22"/>
    <w:link w:val="919"/>
    <w:uiPriority w:val="99"/>
  </w:style>
  <w:style w:type="character" w:styleId="756" w:customStyle="1">
    <w:name w:val="Footer Char"/>
    <w:basedOn w:val="722"/>
    <w:link w:val="921"/>
    <w:uiPriority w:val="99"/>
  </w:style>
  <w:style w:type="paragraph" w:styleId="757" w:customStyle="1">
    <w:name w:val="Caption"/>
    <w:basedOn w:val="721"/>
    <w:next w:val="72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8" w:customStyle="1">
    <w:name w:val="Caption Char"/>
    <w:link w:val="921"/>
    <w:uiPriority w:val="99"/>
  </w:style>
  <w:style w:type="table" w:styleId="759" w:customStyle="1">
    <w:name w:val="Table Grid Light"/>
    <w:basedOn w:val="72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72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8" w:customStyle="1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0" w:customStyle="1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2" w:customStyle="1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3" w:customStyle="1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8" w:customStyle="1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1" w:customStyle="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3" w:customStyle="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5" w:customStyle="1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6" w:customStyle="1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 &amp; 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2" w:customStyle="1">
    <w:name w:val="Bordered &amp; 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3" w:customStyle="1">
    <w:name w:val="Bordered &amp; 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4" w:customStyle="1">
    <w:name w:val="Bordered &amp; 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5" w:customStyle="1">
    <w:name w:val="Bordered &amp; 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6" w:customStyle="1">
    <w:name w:val="Bordered &amp; 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7" w:customStyle="1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9" w:customStyle="1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0" w:customStyle="1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1" w:customStyle="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2" w:customStyle="1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3" w:customStyle="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4" w:customStyle="1">
    <w:name w:val="Footnote Text Char"/>
    <w:link w:val="910"/>
    <w:uiPriority w:val="99"/>
    <w:rPr>
      <w:sz w:val="18"/>
    </w:rPr>
  </w:style>
  <w:style w:type="character" w:styleId="885" w:customStyle="1">
    <w:name w:val="Endnote Text Char"/>
    <w:link w:val="923"/>
    <w:uiPriority w:val="99"/>
    <w:rPr>
      <w:sz w:val="20"/>
    </w:rPr>
  </w:style>
  <w:style w:type="paragraph" w:styleId="886">
    <w:name w:val="toc 1"/>
    <w:basedOn w:val="721"/>
    <w:next w:val="721"/>
    <w:uiPriority w:val="39"/>
    <w:unhideWhenUsed/>
    <w:pPr>
      <w:spacing w:after="57"/>
    </w:pPr>
  </w:style>
  <w:style w:type="paragraph" w:styleId="887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88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89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0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1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2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3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4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21"/>
    <w:next w:val="721"/>
    <w:uiPriority w:val="99"/>
    <w:unhideWhenUsed/>
    <w:pPr>
      <w:spacing w:after="0"/>
    </w:pPr>
  </w:style>
  <w:style w:type="paragraph" w:styleId="897" w:customStyle="1">
    <w:name w:val="ConsPlusNormal"/>
    <w:link w:val="913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98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99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900" w:customStyle="1">
    <w:name w:val="ConsPlusCell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01">
    <w:name w:val="Balloon Text"/>
    <w:basedOn w:val="721"/>
    <w:link w:val="90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basedOn w:val="722"/>
    <w:link w:val="901"/>
    <w:uiPriority w:val="99"/>
    <w:semiHidden/>
    <w:rPr>
      <w:rFonts w:ascii="Tahoma" w:hAnsi="Tahoma" w:cs="Tahoma"/>
      <w:sz w:val="16"/>
      <w:szCs w:val="16"/>
    </w:rPr>
  </w:style>
  <w:style w:type="paragraph" w:styleId="903">
    <w:name w:val="List Paragraph"/>
    <w:basedOn w:val="721"/>
    <w:link w:val="933"/>
    <w:qFormat/>
    <w:pPr>
      <w:contextualSpacing/>
      <w:ind w:left="720"/>
    </w:pPr>
  </w:style>
  <w:style w:type="character" w:styleId="904">
    <w:name w:val="Hyperlink"/>
    <w:basedOn w:val="722"/>
    <w:uiPriority w:val="99"/>
    <w:unhideWhenUsed/>
    <w:rPr>
      <w:color w:val="0000ff" w:themeColor="hyperlink"/>
      <w:u w:val="single"/>
    </w:rPr>
  </w:style>
  <w:style w:type="character" w:styleId="905">
    <w:name w:val="annotation reference"/>
    <w:basedOn w:val="722"/>
    <w:uiPriority w:val="99"/>
    <w:semiHidden/>
    <w:unhideWhenUsed/>
    <w:rPr>
      <w:sz w:val="16"/>
      <w:szCs w:val="16"/>
    </w:rPr>
  </w:style>
  <w:style w:type="paragraph" w:styleId="906">
    <w:name w:val="annotation text"/>
    <w:basedOn w:val="721"/>
    <w:link w:val="90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7" w:customStyle="1">
    <w:name w:val="Текст примечания Знак"/>
    <w:basedOn w:val="722"/>
    <w:link w:val="906"/>
    <w:uiPriority w:val="99"/>
    <w:semiHidden/>
    <w:rPr>
      <w:sz w:val="20"/>
      <w:szCs w:val="20"/>
    </w:rPr>
  </w:style>
  <w:style w:type="paragraph" w:styleId="908">
    <w:name w:val="annotation subject"/>
    <w:basedOn w:val="906"/>
    <w:next w:val="906"/>
    <w:link w:val="909"/>
    <w:uiPriority w:val="99"/>
    <w:semiHidden/>
    <w:unhideWhenUsed/>
    <w:rPr>
      <w:b/>
      <w:bCs/>
    </w:rPr>
  </w:style>
  <w:style w:type="character" w:styleId="909" w:customStyle="1">
    <w:name w:val="Тема примечания Знак"/>
    <w:basedOn w:val="907"/>
    <w:link w:val="908"/>
    <w:uiPriority w:val="99"/>
    <w:semiHidden/>
    <w:rPr>
      <w:b/>
      <w:bCs/>
      <w:sz w:val="20"/>
      <w:szCs w:val="20"/>
    </w:rPr>
  </w:style>
  <w:style w:type="paragraph" w:styleId="910">
    <w:name w:val="footnote text"/>
    <w:basedOn w:val="721"/>
    <w:link w:val="911"/>
    <w:uiPriority w:val="99"/>
    <w:unhideWhenUsed/>
    <w:pPr>
      <w:spacing w:after="0" w:line="240" w:lineRule="auto"/>
    </w:pPr>
    <w:rPr>
      <w:sz w:val="20"/>
      <w:szCs w:val="20"/>
    </w:rPr>
  </w:style>
  <w:style w:type="character" w:styleId="911" w:customStyle="1">
    <w:name w:val="Текст сноски Знак"/>
    <w:basedOn w:val="722"/>
    <w:link w:val="910"/>
    <w:uiPriority w:val="99"/>
    <w:rPr>
      <w:sz w:val="20"/>
      <w:szCs w:val="20"/>
    </w:rPr>
  </w:style>
  <w:style w:type="character" w:styleId="912">
    <w:name w:val="footnote reference"/>
    <w:basedOn w:val="722"/>
    <w:uiPriority w:val="99"/>
    <w:semiHidden/>
    <w:unhideWhenUsed/>
    <w:rPr>
      <w:vertAlign w:val="superscript"/>
    </w:rPr>
  </w:style>
  <w:style w:type="character" w:styleId="913" w:customStyle="1">
    <w:name w:val="ConsPlusNormal Знак"/>
    <w:link w:val="897"/>
    <w:rPr>
      <w:rFonts w:ascii="Calibri" w:hAnsi="Calibri" w:cs="Calibri" w:eastAsiaTheme="minorEastAsia"/>
      <w:lang w:eastAsia="ru-RU"/>
    </w:rPr>
  </w:style>
  <w:style w:type="table" w:styleId="914" w:customStyle="1">
    <w:name w:val="Сетка таблицы1"/>
    <w:basedOn w:val="723"/>
    <w:next w:val="915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>
    <w:name w:val="Table Grid"/>
    <w:basedOn w:val="7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Сетка таблицы2"/>
    <w:basedOn w:val="723"/>
    <w:next w:val="915"/>
    <w:uiPriority w:val="5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Сетка таблицы3"/>
    <w:basedOn w:val="723"/>
    <w:next w:val="915"/>
    <w:uiPriority w:val="5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8">
    <w:name w:val="No Spacing"/>
    <w:uiPriority w:val="1"/>
    <w:qFormat/>
    <w:pPr>
      <w:spacing w:after="0" w:line="240" w:lineRule="auto"/>
    </w:pPr>
  </w:style>
  <w:style w:type="paragraph" w:styleId="919" w:customStyle="1">
    <w:name w:val="Header"/>
    <w:basedOn w:val="721"/>
    <w:link w:val="920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722"/>
    <w:link w:val="919"/>
    <w:uiPriority w:val="99"/>
  </w:style>
  <w:style w:type="paragraph" w:styleId="921" w:customStyle="1">
    <w:name w:val="Footer"/>
    <w:basedOn w:val="721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722"/>
    <w:link w:val="921"/>
    <w:uiPriority w:val="99"/>
  </w:style>
  <w:style w:type="paragraph" w:styleId="923">
    <w:name w:val="endnote text"/>
    <w:basedOn w:val="721"/>
    <w:link w:val="92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24" w:customStyle="1">
    <w:name w:val="Текст концевой сноски Знак"/>
    <w:basedOn w:val="722"/>
    <w:link w:val="923"/>
    <w:uiPriority w:val="99"/>
    <w:semiHidden/>
    <w:rPr>
      <w:sz w:val="20"/>
      <w:szCs w:val="20"/>
    </w:rPr>
  </w:style>
  <w:style w:type="character" w:styleId="925">
    <w:name w:val="endnote reference"/>
    <w:basedOn w:val="722"/>
    <w:uiPriority w:val="99"/>
    <w:semiHidden/>
    <w:unhideWhenUsed/>
    <w:rPr>
      <w:vertAlign w:val="superscript"/>
    </w:rPr>
  </w:style>
  <w:style w:type="table" w:styleId="926">
    <w:name w:val="Table List 3"/>
    <w:basedOn w:val="723"/>
    <w:uiPriority w:val="99"/>
    <w:semiHidden/>
    <w:unhideWhenUsed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swCell">
      <w:rPr>
        <w:i/>
        <w:iCs/>
        <w:color w:val="000080"/>
      </w:rPr>
    </w:tblStylePr>
  </w:style>
  <w:style w:type="paragraph" w:styleId="927" w:customStyle="1">
    <w:name w:val="Стиль 464"/>
    <w:basedOn w:val="910"/>
    <w:link w:val="928"/>
    <w:qFormat/>
    <w:rPr>
      <w:rFonts w:ascii="Times New Roman" w:hAnsi="Times New Roman"/>
    </w:rPr>
  </w:style>
  <w:style w:type="character" w:styleId="928" w:customStyle="1">
    <w:name w:val="Стиль 464 Знак"/>
    <w:basedOn w:val="911"/>
    <w:link w:val="927"/>
    <w:rPr>
      <w:rFonts w:ascii="Times New Roman" w:hAnsi="Times New Roman"/>
      <w:sz w:val="20"/>
      <w:szCs w:val="20"/>
    </w:rPr>
  </w:style>
  <w:style w:type="character" w:styleId="929" w:customStyle="1">
    <w:name w:val="Неразрешенное упоминание1"/>
    <w:basedOn w:val="722"/>
    <w:uiPriority w:val="99"/>
    <w:semiHidden/>
    <w:unhideWhenUsed/>
    <w:rPr>
      <w:color w:val="605e5c"/>
      <w:shd w:val="clear" w:color="auto" w:fill="e1dfdd"/>
    </w:rPr>
  </w:style>
  <w:style w:type="paragraph" w:styleId="930" w:customStyle="1">
    <w:name w:val="formattext"/>
    <w:basedOn w:val="7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>
    <w:name w:val="Normal (Web)"/>
    <w:basedOn w:val="72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932" w:customStyle="1">
    <w:name w:val="Unresolved Mention"/>
    <w:basedOn w:val="722"/>
    <w:uiPriority w:val="99"/>
    <w:semiHidden/>
    <w:unhideWhenUsed/>
    <w:rPr>
      <w:color w:val="605e5c"/>
      <w:shd w:val="clear" w:color="auto" w:fill="e1dfdd"/>
    </w:rPr>
  </w:style>
  <w:style w:type="character" w:styleId="933" w:customStyle="1">
    <w:name w:val="Абзац списка Знак"/>
    <w:basedOn w:val="722"/>
    <w:link w:val="903"/>
    <w:uiPriority w:val="34"/>
    <w:qFormat/>
  </w:style>
  <w:style w:type="character" w:styleId="934" w:customStyle="1">
    <w:name w:val="fontstyle01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styleId="935">
    <w:name w:val="page number"/>
    <w:basedOn w:val="722"/>
  </w:style>
  <w:style w:type="character" w:styleId="936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937" w:customStyle="1">
    <w:name w:val="Standard"/>
    <w:pPr>
      <w:spacing w:after="0" w:line="240" w:lineRule="auto"/>
    </w:pPr>
    <w:rPr>
      <w:rFonts w:ascii="Liberation Serif" w:hAnsi="Liberation Serif" w:eastAsia="SimSun" w:cs="Mangal"/>
      <w:sz w:val="24"/>
      <w:szCs w:val="24"/>
      <w:lang w:val="en-US" w:eastAsia="zh-CN" w:bidi="hi-IN"/>
    </w:rPr>
  </w:style>
  <w:style w:type="paragraph" w:styleId="938" w:customStyle="1">
    <w:name w:val="Text body"/>
    <w:basedOn w:val="937"/>
    <w:pPr>
      <w:spacing w:after="140" w:line="288" w:lineRule="auto"/>
    </w:pPr>
  </w:style>
  <w:style w:type="paragraph" w:styleId="939" w:customStyle="1">
    <w:name w:val="Table Contents"/>
    <w:basedOn w:val="937"/>
  </w:style>
  <w:style w:type="paragraph" w:styleId="940" w:customStyle="1">
    <w:name w:val="Обычный"/>
    <w:next w:val="879"/>
    <w:link w:val="87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https://chernyanskijrajon-r31.gosweb.gosuslugi.ru)" TargetMode="External"/><Relationship Id="rId12" Type="http://schemas.onlyoffice.com/commentsDocument" Target="commentsDocument.xml" /><Relationship Id="rId13" Type="http://schemas.onlyoffice.com/commentsExtendedDocument" Target="commentsExtendedDocument.xml" /><Relationship Id="rId14" Type="http://schemas.onlyoffice.com/commentsIdsDocument" Target="commentsIdsDocument.xml" /><Relationship Id="rId15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revision>21</cp:revision>
  <dcterms:created xsi:type="dcterms:W3CDTF">2022-05-18T05:27:00Z</dcterms:created>
  <dcterms:modified xsi:type="dcterms:W3CDTF">2024-06-14T08:31:32Z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