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68" w:rsidRDefault="000E0767">
      <w:pPr>
        <w:pStyle w:val="ConsTitle"/>
        <w:ind w:right="0"/>
        <w:jc w:val="both"/>
      </w:pPr>
      <w:r>
        <w:rPr>
          <w:b w:val="0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2942590</wp:posOffset>
                </wp:positionH>
                <wp:positionV relativeFrom="margin">
                  <wp:align>top</wp:align>
                </wp:positionV>
                <wp:extent cx="476250" cy="612140"/>
                <wp:effectExtent l="0" t="0" r="0" b="0"/>
                <wp:wrapNone/>
                <wp:docPr id="1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76250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 xmlns="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margin;margin-left:231.70pt;mso-position-horizontal:absolute;mso-position-vertical-relative:margin;mso-position-vertical:top;width:37.50pt;height:48.20pt;mso-wrap-distance-left:9.00pt;mso-wrap-distance-top:0.00pt;mso-wrap-distance-right:9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</w:p>
    <w:p w:rsidR="00155B68" w:rsidRDefault="00155B68">
      <w:pPr>
        <w:ind w:left="4956" w:firstLine="708"/>
        <w:jc w:val="center"/>
      </w:pPr>
    </w:p>
    <w:p w:rsidR="00155B68" w:rsidRDefault="00155B68">
      <w:pPr>
        <w:pStyle w:val="aff4"/>
        <w:spacing w:line="240" w:lineRule="auto"/>
        <w:ind w:left="0"/>
        <w:jc w:val="center"/>
        <w:rPr>
          <w:sz w:val="24"/>
          <w:szCs w:val="24"/>
        </w:rPr>
      </w:pPr>
    </w:p>
    <w:p w:rsidR="00155B68" w:rsidRDefault="00155B68">
      <w:pPr>
        <w:pStyle w:val="aff4"/>
        <w:spacing w:line="240" w:lineRule="auto"/>
        <w:ind w:left="0"/>
        <w:jc w:val="center"/>
        <w:rPr>
          <w:sz w:val="24"/>
          <w:szCs w:val="24"/>
        </w:rPr>
      </w:pPr>
    </w:p>
    <w:p w:rsidR="00155B68" w:rsidRDefault="000E0767">
      <w:pPr>
        <w:pStyle w:val="aff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155B68" w:rsidRDefault="000E0767">
      <w:pPr>
        <w:tabs>
          <w:tab w:val="left" w:pos="1025"/>
          <w:tab w:val="center" w:pos="4819"/>
        </w:tabs>
        <w:jc w:val="center"/>
        <w:rPr>
          <w:b/>
        </w:rPr>
      </w:pPr>
      <w:r>
        <w:rPr>
          <w:b/>
        </w:rPr>
        <w:t>ЧЕРНЯНСКИЙ РАЙОН</w:t>
      </w:r>
    </w:p>
    <w:p w:rsidR="00155B68" w:rsidRDefault="00155B68">
      <w:pPr>
        <w:rPr>
          <w:b/>
          <w:sz w:val="14"/>
          <w:szCs w:val="28"/>
        </w:rPr>
      </w:pPr>
    </w:p>
    <w:p w:rsidR="00155B68" w:rsidRDefault="00155B68">
      <w:pPr>
        <w:rPr>
          <w:b/>
          <w:sz w:val="14"/>
          <w:szCs w:val="28"/>
        </w:rPr>
      </w:pPr>
    </w:p>
    <w:p w:rsidR="00155B68" w:rsidRDefault="000E0767">
      <w:pPr>
        <w:pStyle w:val="aff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155B68" w:rsidRDefault="000E0767">
      <w:pPr>
        <w:pStyle w:val="aff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155B68" w:rsidRDefault="00155B68">
      <w:pPr>
        <w:rPr>
          <w:b/>
        </w:rPr>
      </w:pPr>
    </w:p>
    <w:p w:rsidR="00155B68" w:rsidRDefault="000E0767">
      <w:pPr>
        <w:shd w:val="clear" w:color="auto" w:fill="FFFFFF"/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>П О С Т А Н О В Л Е Н И Е</w:t>
      </w:r>
    </w:p>
    <w:p w:rsidR="00155B68" w:rsidRDefault="000E0767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155B68" w:rsidRDefault="00155B68">
      <w:pPr>
        <w:shd w:val="clear" w:color="auto" w:fill="FFFFFF"/>
        <w:ind w:hanging="751"/>
        <w:jc w:val="center"/>
        <w:rPr>
          <w:b/>
          <w:sz w:val="16"/>
          <w:szCs w:val="16"/>
        </w:rPr>
      </w:pPr>
    </w:p>
    <w:p w:rsidR="00155B68" w:rsidRDefault="000E076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___________ </w:t>
      </w:r>
      <w:r>
        <w:rPr>
          <w:b/>
          <w:color w:val="000000"/>
          <w:sz w:val="28"/>
          <w:szCs w:val="28"/>
        </w:rPr>
        <w:t>2024 г.                                                                    № _____</w:t>
      </w:r>
    </w:p>
    <w:p w:rsidR="00155B68" w:rsidRDefault="00155B68">
      <w:pPr>
        <w:rPr>
          <w:sz w:val="28"/>
          <w:szCs w:val="28"/>
        </w:rPr>
      </w:pP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профилактики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рисков причинения вреда (ущерба) охраняемым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законом ценностям на 2025 год в рамках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земельного контроля 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муниципального района «Чернянский район»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Белгородской области</w:t>
      </w:r>
    </w:p>
    <w:p w:rsidR="00155B68" w:rsidRDefault="00155B68">
      <w:pPr>
        <w:pStyle w:val="aff5"/>
        <w:tabs>
          <w:tab w:val="clear" w:pos="720"/>
        </w:tabs>
        <w:spacing w:after="0" w:line="240" w:lineRule="auto"/>
        <w:ind w:right="5670"/>
        <w:jc w:val="both"/>
        <w:rPr>
          <w:b/>
          <w:sz w:val="16"/>
          <w:szCs w:val="16"/>
        </w:rPr>
      </w:pPr>
    </w:p>
    <w:p w:rsidR="00155B68" w:rsidRDefault="000E0767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6 октября 2003 года № 131–ФЗ  «Об общих принципах организации местного самоуправления в Российской Федерации», статьей 44 Федерального зако</w:t>
      </w:r>
      <w:r>
        <w:rPr>
          <w:color w:val="000000"/>
          <w:sz w:val="28"/>
          <w:szCs w:val="28"/>
        </w:rPr>
        <w:t>на от 31 июля 2020 года № 248 – ФЗ «О государственном контроле (надзоре) и муниципальном контроле в Российской Федерации», Постановлением Правительства РФ от 25 июня 2021 года N 990  «Об утверждении Правил разработки и утверждения контрольными (надзорными)</w:t>
      </w:r>
      <w:r>
        <w:rPr>
          <w:color w:val="000000"/>
          <w:sz w:val="28"/>
          <w:szCs w:val="28"/>
        </w:rPr>
        <w:t xml:space="preserve">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>, в соответствии с положением о муниципальном земельном контроле на территории муниципального района «Чернянский район» Белгородской области, утвержденным решени</w:t>
      </w:r>
      <w:r>
        <w:rPr>
          <w:sz w:val="28"/>
          <w:szCs w:val="28"/>
        </w:rPr>
        <w:t>ем Муниципального  совета Чернянского района от 29 июля 2021 года № 348,  администрация  муниципального  района  «Чернянский  район»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 </w:t>
      </w:r>
      <w:r>
        <w:rPr>
          <w:b/>
          <w:sz w:val="28"/>
          <w:szCs w:val="28"/>
        </w:rPr>
        <w:t>п о с т а н о в л я е т</w:t>
      </w:r>
      <w:r>
        <w:rPr>
          <w:color w:val="000000"/>
          <w:sz w:val="28"/>
          <w:szCs w:val="28"/>
        </w:rPr>
        <w:t>:</w:t>
      </w:r>
    </w:p>
    <w:p w:rsidR="00155B68" w:rsidRDefault="000E076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Утвердить Программу профилактики рисков причинения вреда (ущерба) охраняемым законом ценностям на 2025 год в рамках муниципального земельного контроля на территории </w:t>
      </w:r>
      <w:r>
        <w:rPr>
          <w:rStyle w:val="FontStyle16"/>
        </w:rPr>
        <w:t>муниципального района «Чернянский район» Белгородской области</w:t>
      </w:r>
      <w:r>
        <w:rPr>
          <w:color w:val="000000"/>
          <w:sz w:val="28"/>
          <w:szCs w:val="28"/>
        </w:rPr>
        <w:t xml:space="preserve"> (приложение).</w:t>
      </w:r>
    </w:p>
    <w:p w:rsidR="00155B68" w:rsidRDefault="000E0767">
      <w:pPr>
        <w:pStyle w:val="ConsPlusNormal"/>
        <w:ind w:firstLine="540"/>
        <w:jc w:val="both"/>
      </w:pPr>
      <w:r>
        <w:t>2. Управлени</w:t>
      </w:r>
      <w:r>
        <w:t>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</w:t>
      </w:r>
      <w:proofErr w:type="spellStart"/>
      <w:r>
        <w:t>Приосколье</w:t>
      </w:r>
      <w:proofErr w:type="spellEnd"/>
      <w:r>
        <w:t xml:space="preserve"> 31» (https://gazeta-prioskolye.ru/) и разместить на официальном сайте органов</w:t>
      </w:r>
      <w:r>
        <w:t xml:space="preserve"> местного самоуправления Чернянского района в сети «Интернет» (https://chernyanskijrajon-r31.gosweb.gosuslugi.ru) в порядке, предусмотренном Уставом Чернянского района. </w:t>
      </w:r>
    </w:p>
    <w:p w:rsidR="00155B68" w:rsidRDefault="000E0767" w:rsidP="008B59B9">
      <w:pPr>
        <w:pStyle w:val="ConsPlusNormal"/>
        <w:ind w:firstLine="540"/>
        <w:jc w:val="both"/>
      </w:pPr>
      <w:r>
        <w:t>3. Контроль за исполнением настоящего постановления возложить на заместителя главы адм</w:t>
      </w:r>
      <w:r>
        <w:t>инистрации Чернянского района – руководителя управления имущественных и земельных отношений (Елфимов А.С.)</w:t>
      </w:r>
    </w:p>
    <w:p w:rsidR="00155B68" w:rsidRDefault="000E07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:rsidR="00155B68" w:rsidRDefault="000E07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Чернянского района                                                                 Т.П. Круглякова</w:t>
      </w:r>
    </w:p>
    <w:p w:rsidR="00155B68" w:rsidRDefault="00155B68"/>
    <w:p w:rsidR="00155B68" w:rsidRDefault="00155B68">
      <w:pPr>
        <w:spacing w:line="240" w:lineRule="exact"/>
        <w:ind w:left="4820" w:firstLine="1559"/>
        <w:outlineLvl w:val="0"/>
        <w:rPr>
          <w:sz w:val="28"/>
          <w:szCs w:val="28"/>
        </w:rPr>
      </w:pPr>
    </w:p>
    <w:p w:rsidR="008B59B9" w:rsidRPr="008B59B9" w:rsidRDefault="008B59B9" w:rsidP="008B59B9">
      <w:pPr>
        <w:ind w:left="4820" w:firstLine="1559"/>
        <w:jc w:val="center"/>
        <w:outlineLvl w:val="0"/>
        <w:rPr>
          <w:sz w:val="28"/>
          <w:szCs w:val="28"/>
        </w:rPr>
      </w:pPr>
      <w:r w:rsidRPr="008B59B9">
        <w:rPr>
          <w:sz w:val="28"/>
          <w:szCs w:val="28"/>
        </w:rPr>
        <w:t>Приложение</w:t>
      </w:r>
    </w:p>
    <w:p w:rsidR="008B59B9" w:rsidRDefault="008B59B9" w:rsidP="008B59B9">
      <w:pPr>
        <w:jc w:val="right"/>
        <w:rPr>
          <w:sz w:val="28"/>
          <w:szCs w:val="28"/>
        </w:rPr>
      </w:pPr>
      <w:r w:rsidRPr="008B59B9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</w:t>
      </w:r>
    </w:p>
    <w:p w:rsidR="008B59B9" w:rsidRDefault="008B59B9" w:rsidP="008B59B9">
      <w:pPr>
        <w:jc w:val="center"/>
        <w:rPr>
          <w:sz w:val="28"/>
          <w:szCs w:val="28"/>
        </w:rPr>
      </w:pPr>
      <w:r w:rsidRPr="008B59B9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муниципального района</w:t>
      </w:r>
    </w:p>
    <w:p w:rsidR="008B59B9" w:rsidRDefault="008B59B9" w:rsidP="008B59B9">
      <w:pPr>
        <w:spacing w:line="240" w:lineRule="exact"/>
        <w:jc w:val="center"/>
        <w:rPr>
          <w:sz w:val="28"/>
          <w:szCs w:val="28"/>
        </w:rPr>
      </w:pPr>
      <w:r w:rsidRPr="008B59B9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«Чернянский район»</w:t>
      </w:r>
    </w:p>
    <w:p w:rsidR="008B59B9" w:rsidRDefault="008B59B9" w:rsidP="008B59B9">
      <w:pPr>
        <w:spacing w:line="240" w:lineRule="exact"/>
        <w:jc w:val="center"/>
        <w:rPr>
          <w:sz w:val="28"/>
          <w:szCs w:val="28"/>
        </w:rPr>
      </w:pPr>
      <w:r w:rsidRPr="008B59B9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Белгородской области</w:t>
      </w:r>
    </w:p>
    <w:p w:rsidR="008B59B9" w:rsidRDefault="008B59B9" w:rsidP="008B59B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от «___» __________202__ г. </w:t>
      </w:r>
    </w:p>
    <w:p w:rsidR="00155B68" w:rsidRDefault="00155B68">
      <w:pPr>
        <w:spacing w:line="566" w:lineRule="exact"/>
        <w:ind w:left="4820" w:firstLine="1559"/>
        <w:outlineLvl w:val="0"/>
        <w:rPr>
          <w:sz w:val="28"/>
          <w:szCs w:val="28"/>
        </w:rPr>
      </w:pPr>
    </w:p>
    <w:p w:rsidR="00155B68" w:rsidRDefault="00155B68" w:rsidP="008B59B9">
      <w:pPr>
        <w:ind w:left="4956"/>
      </w:pPr>
    </w:p>
    <w:p w:rsidR="00155B68" w:rsidRDefault="000E0767">
      <w:pPr>
        <w:jc w:val="center"/>
        <w:rPr>
          <w:rFonts w:eastAsia="Calibri"/>
          <w:b/>
          <w:bCs/>
          <w:sz w:val="28"/>
          <w:szCs w:val="28"/>
          <w:highlight w:val="red"/>
        </w:rPr>
      </w:pPr>
      <w:r>
        <w:rPr>
          <w:rFonts w:eastAsia="Calibri"/>
          <w:b/>
          <w:bCs/>
          <w:sz w:val="28"/>
          <w:szCs w:val="28"/>
          <w:lang w:eastAsia="en-US"/>
        </w:rPr>
        <w:t>Программа</w:t>
      </w:r>
    </w:p>
    <w:p w:rsidR="00155B68" w:rsidRDefault="000E0767">
      <w:pPr>
        <w:jc w:val="center"/>
        <w:rPr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>
        <w:rPr>
          <w:b/>
          <w:bCs/>
          <w:color w:val="000000"/>
          <w:sz w:val="28"/>
          <w:szCs w:val="28"/>
        </w:rPr>
        <w:t xml:space="preserve">на 2025 год в рамках </w:t>
      </w:r>
      <w:r>
        <w:rPr>
          <w:rFonts w:eastAsia="Calibri"/>
          <w:b/>
          <w:bCs/>
          <w:sz w:val="28"/>
          <w:szCs w:val="28"/>
          <w:lang w:eastAsia="en-US"/>
        </w:rPr>
        <w:t xml:space="preserve">муниципального земельного контроля </w:t>
      </w:r>
      <w:r>
        <w:rPr>
          <w:b/>
          <w:bCs/>
          <w:color w:val="000000"/>
          <w:sz w:val="28"/>
          <w:szCs w:val="28"/>
        </w:rPr>
        <w:t xml:space="preserve">на территории </w:t>
      </w:r>
      <w:r>
        <w:rPr>
          <w:rStyle w:val="FontStyle16"/>
          <w:b/>
          <w:bCs/>
        </w:rPr>
        <w:t>муниципального района «Чернянский район» Белгородской области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155B68" w:rsidRDefault="00155B68">
      <w:pPr>
        <w:jc w:val="center"/>
        <w:rPr>
          <w:rFonts w:eastAsia="Calibri"/>
          <w:b/>
          <w:bCs/>
          <w:sz w:val="28"/>
          <w:szCs w:val="28"/>
        </w:rPr>
      </w:pPr>
    </w:p>
    <w:p w:rsidR="00155B68" w:rsidRDefault="000E07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</w:t>
      </w:r>
      <w:r>
        <w:rPr>
          <w:color w:val="000000"/>
          <w:sz w:val="28"/>
          <w:szCs w:val="28"/>
        </w:rPr>
        <w:t xml:space="preserve">на 2025 год в рамках </w:t>
      </w:r>
      <w:r>
        <w:rPr>
          <w:rFonts w:eastAsia="Calibri"/>
          <w:sz w:val="28"/>
          <w:szCs w:val="28"/>
          <w:lang w:eastAsia="en-US"/>
        </w:rPr>
        <w:t xml:space="preserve">муниципального земельного контроля </w:t>
      </w:r>
      <w:r>
        <w:rPr>
          <w:color w:val="000000"/>
          <w:sz w:val="28"/>
          <w:szCs w:val="28"/>
        </w:rPr>
        <w:t xml:space="preserve">на территории </w:t>
      </w:r>
      <w:r>
        <w:rPr>
          <w:rStyle w:val="FontStyle16"/>
        </w:rPr>
        <w:t>муниципального района «Чернянский район» Белгородской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</w:t>
      </w:r>
      <w:r>
        <w:rPr>
          <w:rFonts w:eastAsia="Calibri"/>
          <w:sz w:val="28"/>
          <w:szCs w:val="28"/>
          <w:lang w:eastAsia="en-US"/>
        </w:rPr>
        <w:t>нивается в рамках осуществления муниципального земельного контроля (далее – муниципальный контроль) на территории муниципального района «Чернянский район» Белгородской области (далее – Чернянский район).</w:t>
      </w:r>
    </w:p>
    <w:p w:rsidR="00155B68" w:rsidRDefault="00155B6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55B68" w:rsidRDefault="000E0767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>
        <w:rPr>
          <w:rFonts w:eastAsia="Calibri"/>
          <w:b/>
          <w:sz w:val="28"/>
          <w:szCs w:val="28"/>
          <w:lang w:eastAsia="en-US"/>
        </w:rPr>
        <w:t>. Анализ текущего состояния осуществления муниципа</w:t>
      </w:r>
      <w:r>
        <w:rPr>
          <w:rFonts w:eastAsia="Calibri"/>
          <w:b/>
          <w:sz w:val="28"/>
          <w:szCs w:val="28"/>
          <w:lang w:eastAsia="en-US"/>
        </w:rPr>
        <w:t>льного контроля, описание текущего развития профилактической деятельности администрации Чернянского района в лице управления имущественных и земельных отношений администрации Чернянского района, характеристика проблем, на решение которых направлена Програм</w:t>
      </w:r>
      <w:r>
        <w:rPr>
          <w:rFonts w:eastAsia="Calibri"/>
          <w:b/>
          <w:sz w:val="28"/>
          <w:szCs w:val="28"/>
          <w:lang w:eastAsia="en-US"/>
        </w:rPr>
        <w:t>ма</w:t>
      </w:r>
    </w:p>
    <w:p w:rsidR="00155B68" w:rsidRDefault="00155B68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</w:rPr>
        <w:t>1) соблюдение юридическими лицами, индивидуальными предпринимателями, гражданами требований земельного законодательства в отношении объектов земельных отношений;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2) использование земельных участков по целевому назначению и в соответствии с разрешенным использованием;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3) своевременное и качественное выполнение обязательных мероприятий по улучшению земель и охране почв от водной эрозии, заболачивания, подтопления, пе</w:t>
      </w:r>
      <w:r>
        <w:rPr>
          <w:rFonts w:eastAsia="Arial"/>
          <w:color w:val="000000"/>
          <w:sz w:val="28"/>
          <w:szCs w:val="28"/>
        </w:rPr>
        <w:t>реуплотнения захламления, загрязнения и по предотвращению других процессов, ухудшающих качественное состояние земель и вызывающих их деградацию;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4) выполнение требований по предотвращению уничтожения, самовольного снятия и перемещения плодородного слоя поч</w:t>
      </w:r>
      <w:r>
        <w:rPr>
          <w:rFonts w:eastAsia="Arial"/>
          <w:color w:val="000000"/>
          <w:sz w:val="28"/>
          <w:szCs w:val="28"/>
        </w:rPr>
        <w:t xml:space="preserve">вы, а также порчи земель в результате </w:t>
      </w:r>
      <w:r>
        <w:rPr>
          <w:rFonts w:eastAsia="Arial"/>
          <w:color w:val="000000"/>
          <w:sz w:val="28"/>
          <w:szCs w:val="28"/>
        </w:rPr>
        <w:lastRenderedPageBreak/>
        <w:t>нарушения правил обращения с пестицидами, агрохимиками или иными опасными для здоровья людей и окружающей среды веществами и отходами производства и употребления;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5) своевременное выполнение обязанностей по приведению </w:t>
      </w:r>
      <w:r>
        <w:rPr>
          <w:rFonts w:eastAsia="Arial"/>
          <w:color w:val="000000"/>
          <w:sz w:val="28"/>
          <w:szCs w:val="28"/>
        </w:rPr>
        <w:t>земель в состояние, пригодное для использования по целевому назначению, или их рекультивации после завершения разработки месторождений полезных ископаемых (включая общераспространённые полезные ископаемые), строительные, лесозаготовительные, изыскательские</w:t>
      </w:r>
      <w:r>
        <w:rPr>
          <w:rFonts w:eastAsia="Arial"/>
          <w:color w:val="000000"/>
          <w:sz w:val="28"/>
          <w:szCs w:val="28"/>
        </w:rPr>
        <w:t xml:space="preserve"> и иные работы, ведущиеся с нарушением почвенного слоя, в том числе работ, осуществляемых для внутрихозяйственных и собственных надобностей;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6) предоставление достоверных сведений о состоянии земель;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7) исполнение предписаний по вопросам соблюдения земельн</w:t>
      </w:r>
      <w:r>
        <w:rPr>
          <w:rFonts w:eastAsia="Arial"/>
          <w:color w:val="000000"/>
          <w:sz w:val="28"/>
          <w:szCs w:val="28"/>
        </w:rPr>
        <w:t>ого законодательства и устранения нарушений в области земельных отношений;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8) выполнение иных требований земельного законодательства по вопросам использования и охраны земель.</w:t>
      </w:r>
    </w:p>
    <w:p w:rsidR="00155B68" w:rsidRDefault="000E076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 при осуществлении муниципального контроля являются юридич</w:t>
      </w:r>
      <w:r>
        <w:rPr>
          <w:rFonts w:eastAsia="Calibri"/>
          <w:sz w:val="28"/>
          <w:szCs w:val="28"/>
          <w:lang w:eastAsia="en-US"/>
        </w:rPr>
        <w:t>еские лица, индивидуальные предприниматели и граждане.</w:t>
      </w:r>
    </w:p>
    <w:p w:rsidR="00155B68" w:rsidRDefault="000E0767">
      <w:pPr>
        <w:ind w:firstLine="708"/>
        <w:jc w:val="both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>Общее количество объектов контроля оценивается в 126 земельных участков, среди н</w:t>
      </w:r>
      <w:r>
        <w:rPr>
          <w:rFonts w:eastAsia="Calibri"/>
          <w:sz w:val="28"/>
          <w:szCs w:val="28"/>
          <w:lang w:eastAsia="en-US"/>
        </w:rPr>
        <w:t>их имеющие категории риска:</w:t>
      </w:r>
    </w:p>
    <w:p w:rsidR="00155B68" w:rsidRDefault="000E0767">
      <w:pPr>
        <w:ind w:firstLine="708"/>
        <w:jc w:val="both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>средний риск – 126 (100 %);</w:t>
      </w:r>
    </w:p>
    <w:p w:rsidR="00155B68" w:rsidRDefault="000E0767">
      <w:pPr>
        <w:ind w:firstLine="708"/>
        <w:jc w:val="both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>умеренный риск – 0 (0 %);</w:t>
      </w:r>
    </w:p>
    <w:p w:rsidR="00155B68" w:rsidRDefault="000E0767">
      <w:pPr>
        <w:ind w:firstLine="708"/>
        <w:jc w:val="both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>низкий риск – 0 (0 %).</w:t>
      </w:r>
    </w:p>
    <w:p w:rsidR="00155B68" w:rsidRDefault="000E076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Главной задачей </w:t>
      </w:r>
      <w:r>
        <w:rPr>
          <w:rFonts w:eastAsia="Calibri"/>
          <w:sz w:val="28"/>
          <w:szCs w:val="28"/>
          <w:lang w:eastAsia="en-US"/>
        </w:rPr>
        <w:t>администрации Чернянского района в лице управления имущественных и земельных отношений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</w:t>
      </w:r>
      <w:r>
        <w:rPr>
          <w:rFonts w:eastAsia="Calibri"/>
          <w:sz w:val="28"/>
          <w:szCs w:val="28"/>
          <w:lang w:eastAsia="en-US"/>
        </w:rPr>
        <w:t xml:space="preserve">ех объектов контроля, обеспечивая приоритет проведения профилактики. </w:t>
      </w:r>
    </w:p>
    <w:p w:rsidR="00155B68" w:rsidRDefault="000E07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целях предупреждения нарушений контролируемыми лицами обязательных требований, требований, установленных муницип</w:t>
      </w:r>
      <w:r>
        <w:rPr>
          <w:rFonts w:eastAsia="Calibri"/>
          <w:sz w:val="28"/>
          <w:szCs w:val="28"/>
          <w:lang w:eastAsia="en-US"/>
        </w:rPr>
        <w:t>альными правовыми актами в сфере муниципального контроля, устранения при</w:t>
      </w:r>
      <w:r>
        <w:rPr>
          <w:rFonts w:eastAsia="Calibri"/>
          <w:sz w:val="28"/>
          <w:szCs w:val="28"/>
          <w:lang w:eastAsia="en-US"/>
        </w:rPr>
        <w:t>чин, факторов и условий, способствующих указанным нарушениям, управлением имущественных и земельных отношений администрации Чернянского района осуществлялись мероприятия по профилактике таких нарушений в соответствии с программой профилактики рисков причин</w:t>
      </w:r>
      <w:r>
        <w:rPr>
          <w:rFonts w:eastAsia="Calibri"/>
          <w:sz w:val="28"/>
          <w:szCs w:val="28"/>
          <w:lang w:eastAsia="en-US"/>
        </w:rPr>
        <w:t>ения вреда (ущерба) охраняемым законом ценностям на 2024 год в рамках муниципального земельного контроля на территории муниципального района «Чернянский район» Белгородской области, утвержденной постановлением администрации муниципального района «Чернянски</w:t>
      </w:r>
      <w:r>
        <w:rPr>
          <w:rFonts w:eastAsia="Calibri"/>
          <w:sz w:val="28"/>
          <w:szCs w:val="28"/>
          <w:lang w:eastAsia="en-US"/>
        </w:rPr>
        <w:t>й район» Белгородской области от 12.12.2023 г. № 735.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  <w:rPr>
          <w:rStyle w:val="aff0"/>
          <w:i w:val="0"/>
          <w:sz w:val="28"/>
          <w:szCs w:val="28"/>
        </w:rPr>
      </w:pPr>
      <w:r>
        <w:rPr>
          <w:rStyle w:val="aff0"/>
          <w:i w:val="0"/>
          <w:sz w:val="28"/>
          <w:szCs w:val="28"/>
        </w:rPr>
        <w:t>В частности, в 2024 году в целях профилактики нарушений обязательных требований на официальном сайте органов местного самоуправления Чернянского района в информационно-телекоммуникационной сети «Интерне</w:t>
      </w:r>
      <w:r>
        <w:rPr>
          <w:rStyle w:val="aff0"/>
          <w:i w:val="0"/>
          <w:sz w:val="28"/>
          <w:szCs w:val="28"/>
        </w:rPr>
        <w:t>т» обеспечено размещение информации в отношении проведения муниципального земельного контроля, в том числе перечень обязательных требований, обобщение практики, разъяснения, полезная информация. Информирование юридических лиц, индивидуальных предпринимател</w:t>
      </w:r>
      <w:r>
        <w:rPr>
          <w:rStyle w:val="aff0"/>
          <w:i w:val="0"/>
          <w:sz w:val="28"/>
          <w:szCs w:val="28"/>
        </w:rPr>
        <w:t>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в информационно-телекоммуникационной сети «Интернет».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  <w:rPr>
          <w:rStyle w:val="aff0"/>
          <w:i w:val="0"/>
          <w:sz w:val="28"/>
          <w:szCs w:val="28"/>
        </w:rPr>
      </w:pPr>
      <w:r>
        <w:rPr>
          <w:rStyle w:val="aff0"/>
          <w:i w:val="0"/>
          <w:sz w:val="28"/>
          <w:szCs w:val="28"/>
        </w:rPr>
        <w:t xml:space="preserve">На регулярной основе давались консультации в ходе личных приемов, а также посредством телефонной связи. 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  <w:rPr>
          <w:rStyle w:val="aff0"/>
          <w:i w:val="0"/>
          <w:sz w:val="28"/>
          <w:szCs w:val="28"/>
          <w:highlight w:val="cyan"/>
        </w:rPr>
      </w:pPr>
      <w:r>
        <w:rPr>
          <w:rStyle w:val="aff0"/>
          <w:i w:val="0"/>
          <w:sz w:val="28"/>
          <w:szCs w:val="28"/>
        </w:rPr>
        <w:t>За 9 месяцев 2024 года объявлено 54 предостережения. Наиболее распространенным основанием для объявления предостережения стал</w:t>
      </w:r>
      <w:r w:rsidRPr="008B59B9">
        <w:rPr>
          <w:rStyle w:val="aff0"/>
          <w:i w:val="0"/>
          <w:sz w:val="28"/>
          <w:szCs w:val="28"/>
        </w:rPr>
        <w:t>о</w:t>
      </w:r>
      <w:r>
        <w:rPr>
          <w:rStyle w:val="aff0"/>
          <w:i w:val="0"/>
          <w:sz w:val="28"/>
          <w:szCs w:val="28"/>
        </w:rPr>
        <w:t xml:space="preserve"> </w:t>
      </w:r>
      <w:r>
        <w:rPr>
          <w:rStyle w:val="aff0"/>
          <w:i w:val="0"/>
          <w:sz w:val="28"/>
          <w:szCs w:val="28"/>
        </w:rPr>
        <w:t>самово</w:t>
      </w:r>
      <w:r>
        <w:rPr>
          <w:rStyle w:val="aff0"/>
          <w:i w:val="0"/>
          <w:sz w:val="28"/>
          <w:szCs w:val="28"/>
        </w:rPr>
        <w:t>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</w:t>
      </w:r>
      <w:r>
        <w:rPr>
          <w:rStyle w:val="aff0"/>
          <w:i w:val="0"/>
          <w:sz w:val="28"/>
          <w:szCs w:val="28"/>
        </w:rPr>
        <w:t>.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</w:pPr>
      <w:r w:rsidRPr="008B59B9">
        <w:rPr>
          <w:color w:val="010101"/>
          <w:sz w:val="28"/>
          <w:szCs w:val="28"/>
          <w:shd w:val="clear" w:color="auto" w:fill="FFFFFF"/>
        </w:rPr>
        <w:t>В соответствии с пунктом 11(3) постан</w:t>
      </w:r>
      <w:r w:rsidRPr="008B59B9">
        <w:rPr>
          <w:color w:val="010101"/>
          <w:sz w:val="28"/>
          <w:szCs w:val="28"/>
          <w:shd w:val="clear" w:color="auto" w:fill="FFFFFF"/>
        </w:rPr>
        <w:t xml:space="preserve">овления Правительства Российской Федерации от 10.03.2022 г. № 336 «Об особенностях организации и осуществления государственного контроля (надзора), муниципального контроля» </w:t>
      </w:r>
      <w:r w:rsidRPr="008B59B9">
        <w:rPr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</w:t>
      </w:r>
      <w:bookmarkStart w:id="0" w:name="_GoBack"/>
      <w:bookmarkEnd w:id="0"/>
      <w:r>
        <w:rPr>
          <w:color w:val="010101"/>
          <w:sz w:val="28"/>
          <w:szCs w:val="28"/>
          <w:shd w:val="clear" w:color="auto" w:fill="FFFFFF"/>
        </w:rPr>
        <w:t>ндивидуальных предпр</w:t>
      </w:r>
      <w:r>
        <w:rPr>
          <w:color w:val="010101"/>
          <w:sz w:val="28"/>
          <w:szCs w:val="28"/>
          <w:shd w:val="clear" w:color="auto" w:fill="FFFFFF"/>
        </w:rPr>
        <w:t>инимателей на основании ст. 61 Федерального закона от 31.07.2020 № 248-ФЗ «О государственном контроле (надзоре) и муниципальном контроле в Российской Федерации», в сфере муниципального земельного контроля на территории Чернянского района на 2024 год не утв</w:t>
      </w:r>
      <w:r>
        <w:rPr>
          <w:color w:val="010101"/>
          <w:sz w:val="28"/>
          <w:szCs w:val="28"/>
          <w:shd w:val="clear" w:color="auto" w:fill="FFFFFF"/>
        </w:rPr>
        <w:t>ерждался в связи с отсутствием на территории Чернянского района объектов высокой и чрезвычайно высокой категории риска. В 2024 году проводились профилактические и контрольные (надзорные) мероприятия без взаимодействия с контролируемым лицом.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Проведённая уп</w:t>
      </w:r>
      <w:r>
        <w:rPr>
          <w:spacing w:val="1"/>
          <w:sz w:val="28"/>
          <w:szCs w:val="28"/>
        </w:rPr>
        <w:t>равлением имущественных и земельных отношений администрации Чернянского района в 2024 году работа</w:t>
      </w:r>
      <w:r>
        <w:rPr>
          <w:rFonts w:eastAsia="Calibri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155B68" w:rsidRDefault="000E0767">
      <w:pPr>
        <w:widowControl w:val="0"/>
        <w:tabs>
          <w:tab w:val="left" w:pos="0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Для устранения </w:t>
      </w:r>
      <w:r>
        <w:rPr>
          <w:spacing w:val="1"/>
          <w:sz w:val="28"/>
          <w:szCs w:val="28"/>
        </w:rPr>
        <w:t>указан</w:t>
      </w:r>
      <w:r>
        <w:rPr>
          <w:spacing w:val="1"/>
          <w:sz w:val="28"/>
          <w:szCs w:val="28"/>
        </w:rPr>
        <w:t xml:space="preserve">ных рисков деятельность управление имущественных и земельных отношений администрации Чернянского района, направленная на </w:t>
      </w:r>
      <w:r>
        <w:rPr>
          <w:rStyle w:val="aff0"/>
          <w:i w:val="0"/>
          <w:iCs w:val="0"/>
          <w:sz w:val="28"/>
          <w:szCs w:val="28"/>
        </w:rPr>
        <w:t>профилактику нарушений обязательных требо</w:t>
      </w:r>
      <w:r>
        <w:rPr>
          <w:rStyle w:val="aff0"/>
          <w:i w:val="0"/>
          <w:sz w:val="28"/>
          <w:szCs w:val="28"/>
        </w:rPr>
        <w:t>ваний,</w:t>
      </w:r>
      <w:r>
        <w:rPr>
          <w:spacing w:val="1"/>
          <w:sz w:val="28"/>
          <w:szCs w:val="28"/>
        </w:rPr>
        <w:t xml:space="preserve"> в 2025 году будет сосредоточена на следующих направлениях:</w:t>
      </w:r>
    </w:p>
    <w:p w:rsidR="00155B68" w:rsidRDefault="000E0767">
      <w:pPr>
        <w:pStyle w:val="1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информирование;</w:t>
      </w:r>
    </w:p>
    <w:p w:rsidR="00155B68" w:rsidRDefault="000E0767">
      <w:pPr>
        <w:pStyle w:val="1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>консультирование;</w:t>
      </w:r>
    </w:p>
    <w:p w:rsidR="00155B68" w:rsidRDefault="000E0767">
      <w:pPr>
        <w:pStyle w:val="1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объявление предостережения;</w:t>
      </w:r>
    </w:p>
    <w:p w:rsidR="00155B68" w:rsidRDefault="000E0767">
      <w:pPr>
        <w:pStyle w:val="1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профилактический визит.</w:t>
      </w:r>
    </w:p>
    <w:p w:rsidR="00155B68" w:rsidRDefault="00155B68">
      <w:pPr>
        <w:widowControl w:val="0"/>
        <w:tabs>
          <w:tab w:val="left" w:pos="0"/>
        </w:tabs>
        <w:jc w:val="both"/>
        <w:rPr>
          <w:i/>
          <w:spacing w:val="1"/>
          <w:sz w:val="28"/>
          <w:szCs w:val="28"/>
        </w:rPr>
      </w:pPr>
    </w:p>
    <w:p w:rsidR="00155B68" w:rsidRDefault="000E076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155B68" w:rsidRDefault="00155B68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155B68" w:rsidRDefault="000E07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 предупреждение нарушений обязательных требований земельного законодательства;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предотвращение угрозы причинения, либо причинения вреда охраняемым законом ценностям вследствие нарушений обязательных требований;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</w:t>
      </w:r>
      <w:r>
        <w:rPr>
          <w:rFonts w:eastAsia="Calibri"/>
          <w:sz w:val="28"/>
          <w:szCs w:val="28"/>
        </w:rPr>
        <w:t>й и угрозе причинения, либо причинения вреда;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155B68" w:rsidRDefault="000E07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Задачами реализации Программы явл</w:t>
      </w:r>
      <w:r>
        <w:rPr>
          <w:rFonts w:eastAsia="Calibri"/>
          <w:sz w:val="28"/>
          <w:szCs w:val="28"/>
          <w:lang w:eastAsia="en-US"/>
        </w:rPr>
        <w:t>яются: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выявление факторов угрозы причинения, либо причинения вреда (ущерба), причи</w:t>
      </w:r>
      <w:r>
        <w:rPr>
          <w:rFonts w:eastAsia="Calibri"/>
          <w:sz w:val="28"/>
          <w:szCs w:val="28"/>
        </w:rPr>
        <w:t>н и условий, способствующих нарушению обязательных требований, определение способов устранения или снижения угрозы;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создание условий для изменения ценностного отношения контролируемых лиц к рис</w:t>
      </w:r>
      <w:r>
        <w:rPr>
          <w:rFonts w:eastAsia="Calibri"/>
          <w:sz w:val="28"/>
          <w:szCs w:val="28"/>
        </w:rPr>
        <w:t>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</w:t>
      </w:r>
      <w:r>
        <w:rPr>
          <w:rFonts w:eastAsia="Calibri"/>
          <w:sz w:val="28"/>
          <w:szCs w:val="28"/>
        </w:rPr>
        <w:t>язательных требований, соблюдение которых составляет предмет муниципального контроля;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</w:t>
      </w:r>
      <w:r>
        <w:rPr>
          <w:rFonts w:eastAsia="Calibri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155B68" w:rsidRDefault="000E076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снижение издержек контрольно-надзорной деятельности и административной нагруз</w:t>
      </w:r>
      <w:r>
        <w:rPr>
          <w:rFonts w:eastAsia="Calibri"/>
          <w:sz w:val="28"/>
          <w:szCs w:val="28"/>
        </w:rPr>
        <w:t>ки на контролируемых лиц.</w:t>
      </w:r>
    </w:p>
    <w:p w:rsidR="00155B68" w:rsidRDefault="00155B68">
      <w:pPr>
        <w:rPr>
          <w:b/>
          <w:bCs/>
          <w:sz w:val="28"/>
          <w:szCs w:val="28"/>
          <w:highlight w:val="green"/>
        </w:rPr>
      </w:pP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Перечень профилактических мероприятий, сроки</w:t>
      </w:r>
    </w:p>
    <w:p w:rsidR="00155B68" w:rsidRDefault="000E076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(периодичность) их проведения</w:t>
      </w:r>
    </w:p>
    <w:p w:rsidR="00155B68" w:rsidRDefault="00155B68">
      <w:pPr>
        <w:ind w:firstLine="567"/>
        <w:jc w:val="center"/>
        <w:rPr>
          <w:b/>
          <w:bCs/>
          <w:sz w:val="28"/>
          <w:szCs w:val="28"/>
        </w:rPr>
      </w:pP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 соответствии с Полож</w:t>
      </w:r>
      <w:r>
        <w:rPr>
          <w:sz w:val="28"/>
          <w:szCs w:val="28"/>
        </w:rPr>
        <w:t xml:space="preserve">ением о муниципальном земельном контроле на территории муниципального района «Чернянский район» Белгородской области, утвержденным решением Муниципального совета Чернянского района от 29.07.2021 г. № 348, проводятся следующие профилактические мероприятия: </w:t>
      </w: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информирование;</w:t>
      </w: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объявление предостережения;</w:t>
      </w: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консультирование;</w:t>
      </w: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профилактический визит.</w:t>
      </w:r>
    </w:p>
    <w:p w:rsidR="00155B68" w:rsidRDefault="000E07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</w:t>
      </w:r>
      <w:r>
        <w:rPr>
          <w:sz w:val="28"/>
          <w:szCs w:val="28"/>
        </w:rPr>
        <w:t>.</w:t>
      </w:r>
    </w:p>
    <w:p w:rsidR="00155B68" w:rsidRDefault="00155B68">
      <w:pPr>
        <w:ind w:firstLine="567"/>
        <w:jc w:val="both"/>
        <w:rPr>
          <w:i/>
          <w:sz w:val="28"/>
          <w:szCs w:val="28"/>
        </w:rPr>
      </w:pPr>
    </w:p>
    <w:p w:rsidR="00155B68" w:rsidRDefault="000E076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155B68" w:rsidRDefault="00155B68">
      <w:pPr>
        <w:jc w:val="both"/>
        <w:rPr>
          <w:rFonts w:eastAsia="Calibri"/>
          <w:sz w:val="28"/>
          <w:szCs w:val="28"/>
          <w:lang w:eastAsia="en-US"/>
        </w:rPr>
      </w:pPr>
    </w:p>
    <w:p w:rsidR="00155B68" w:rsidRDefault="000E0767">
      <w:pPr>
        <w:ind w:firstLine="709"/>
        <w:jc w:val="both"/>
        <w:rPr>
          <w:rStyle w:val="aff0"/>
          <w:i w:val="0"/>
          <w:sz w:val="28"/>
          <w:szCs w:val="28"/>
        </w:rPr>
      </w:pPr>
      <w:r>
        <w:rPr>
          <w:rStyle w:val="aff0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508"/>
        <w:gridCol w:w="2552"/>
      </w:tblGrid>
      <w:tr w:rsidR="00155B68">
        <w:tc>
          <w:tcPr>
            <w:tcW w:w="7508" w:type="dxa"/>
          </w:tcPr>
          <w:p w:rsidR="00155B68" w:rsidRDefault="000E0767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  <w:r>
              <w:rPr>
                <w:rStyle w:val="aff0"/>
                <w:rFonts w:ascii="Times New Roman" w:hAnsi="Times New Roman"/>
                <w:i w:val="0"/>
              </w:rPr>
              <w:t>Наименование показателя</w:t>
            </w:r>
          </w:p>
        </w:tc>
        <w:tc>
          <w:tcPr>
            <w:tcW w:w="2552" w:type="dxa"/>
          </w:tcPr>
          <w:p w:rsidR="00155B68" w:rsidRDefault="000E0767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  <w:r>
              <w:rPr>
                <w:rStyle w:val="aff0"/>
                <w:rFonts w:ascii="Times New Roman" w:hAnsi="Times New Roman"/>
                <w:i w:val="0"/>
              </w:rPr>
              <w:t>величина</w:t>
            </w:r>
          </w:p>
        </w:tc>
      </w:tr>
      <w:tr w:rsidR="00155B68">
        <w:tc>
          <w:tcPr>
            <w:tcW w:w="7508" w:type="dxa"/>
          </w:tcPr>
          <w:p w:rsidR="00155B68" w:rsidRDefault="000E07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Полнота информации, размещенной на официальном сайте</w:t>
            </w:r>
          </w:p>
          <w:p w:rsidR="00155B68" w:rsidRDefault="000E07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контрольного органа в сети «Интернет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»: </w:t>
            </w:r>
            <w:hyperlink r:id="rId12" w:tooltip="https://chernyanskijrajon-r31.gosweb.gosuslugi.ru/" w:history="1">
              <w:r>
                <w:rPr>
                  <w:rStyle w:val="afc"/>
                  <w:rFonts w:ascii="Times New Roman" w:hAnsi="Times New Roman"/>
                  <w:spacing w:val="-10"/>
                  <w:szCs w:val="20"/>
                </w:rPr>
                <w:t>https://chernyanskijrajon-r31.gosweb.gosu</w:t>
              </w:r>
              <w:r>
                <w:rPr>
                  <w:rStyle w:val="afc"/>
                  <w:rFonts w:ascii="Times New Roman" w:hAnsi="Times New Roman"/>
                  <w:spacing w:val="-10"/>
                  <w:szCs w:val="20"/>
                </w:rPr>
                <w:t>slugi.ru/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155B68" w:rsidRDefault="00155B68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</w:p>
        </w:tc>
        <w:tc>
          <w:tcPr>
            <w:tcW w:w="2552" w:type="dxa"/>
          </w:tcPr>
          <w:p w:rsidR="00155B68" w:rsidRDefault="000E0767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  <w:r>
              <w:rPr>
                <w:rStyle w:val="aff0"/>
                <w:rFonts w:ascii="Times New Roman" w:hAnsi="Times New Roman"/>
                <w:i w:val="0"/>
              </w:rPr>
              <w:t>100%</w:t>
            </w:r>
          </w:p>
        </w:tc>
      </w:tr>
      <w:tr w:rsidR="00155B68">
        <w:tc>
          <w:tcPr>
            <w:tcW w:w="7508" w:type="dxa"/>
          </w:tcPr>
          <w:p w:rsidR="00155B68" w:rsidRDefault="000E07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Доля контролируемых лиц, удовлетворенных</w:t>
            </w:r>
          </w:p>
          <w:p w:rsidR="00155B68" w:rsidRDefault="000E07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консультированием в общем количестве контролируемых лиц,</w:t>
            </w:r>
          </w:p>
          <w:p w:rsidR="00155B68" w:rsidRDefault="000E07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обратившихся за консультацией</w:t>
            </w:r>
          </w:p>
          <w:p w:rsidR="00155B68" w:rsidRDefault="00155B68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</w:p>
        </w:tc>
        <w:tc>
          <w:tcPr>
            <w:tcW w:w="2552" w:type="dxa"/>
          </w:tcPr>
          <w:p w:rsidR="00155B68" w:rsidRDefault="000E0767">
            <w:pPr>
              <w:jc w:val="both"/>
              <w:rPr>
                <w:rStyle w:val="aff0"/>
                <w:rFonts w:ascii="Times New Roman" w:hAnsi="Times New Roman"/>
                <w:i w:val="0"/>
              </w:rPr>
            </w:pPr>
            <w:r>
              <w:rPr>
                <w:rStyle w:val="aff0"/>
                <w:rFonts w:ascii="Times New Roman" w:hAnsi="Times New Roman"/>
                <w:i w:val="0"/>
              </w:rPr>
              <w:t>100%</w:t>
            </w:r>
          </w:p>
        </w:tc>
      </w:tr>
    </w:tbl>
    <w:p w:rsidR="00155B68" w:rsidRDefault="00155B68">
      <w:pPr>
        <w:shd w:val="clear" w:color="auto" w:fill="FFFFFF"/>
        <w:rPr>
          <w:rStyle w:val="aff0"/>
          <w:i w:val="0"/>
          <w:sz w:val="28"/>
          <w:szCs w:val="28"/>
        </w:rPr>
      </w:pPr>
    </w:p>
    <w:p w:rsidR="00155B68" w:rsidRDefault="000E076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Сведения о достижении показателей результативности и эффективности Программы включаются администрацией Чернянского района в состав доклада о виде муниципально</w:t>
      </w:r>
      <w:r>
        <w:rPr>
          <w:rFonts w:eastAsia="Calibri"/>
          <w:sz w:val="28"/>
          <w:szCs w:val="28"/>
          <w:lang w:eastAsia="en-US"/>
        </w:rPr>
        <w:t xml:space="preserve">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155B68">
      <w:pPr>
        <w:jc w:val="both"/>
        <w:rPr>
          <w:b/>
          <w:bCs/>
          <w:sz w:val="28"/>
          <w:szCs w:val="28"/>
        </w:rPr>
      </w:pPr>
    </w:p>
    <w:p w:rsidR="00155B68" w:rsidRDefault="000E0767">
      <w:pPr>
        <w:rPr>
          <w:sz w:val="28"/>
          <w:szCs w:val="28"/>
        </w:rPr>
      </w:pPr>
      <w:r>
        <w:rPr>
          <w:bCs/>
          <w:sz w:val="28"/>
          <w:szCs w:val="28"/>
        </w:rPr>
        <w:br w:type="page" w:clear="all"/>
      </w:r>
    </w:p>
    <w:p w:rsidR="00155B68" w:rsidRDefault="000E0767">
      <w:pPr>
        <w:ind w:left="510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155B68" w:rsidRDefault="000E0767">
      <w:pPr>
        <w:ind w:left="510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к Программе</w:t>
      </w:r>
    </w:p>
    <w:p w:rsidR="00155B68" w:rsidRDefault="000E0767">
      <w:pPr>
        <w:ind w:left="5102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>
        <w:rPr>
          <w:color w:val="000000"/>
          <w:sz w:val="28"/>
          <w:szCs w:val="28"/>
        </w:rPr>
        <w:t xml:space="preserve">на 2025 год в рамках </w:t>
      </w:r>
      <w:r>
        <w:rPr>
          <w:rFonts w:eastAsia="Calibri"/>
          <w:sz w:val="28"/>
          <w:szCs w:val="28"/>
          <w:lang w:eastAsia="en-US"/>
        </w:rPr>
        <w:t xml:space="preserve">муниципального земельного контроля </w:t>
      </w:r>
      <w:r>
        <w:rPr>
          <w:color w:val="000000"/>
          <w:sz w:val="28"/>
          <w:szCs w:val="28"/>
        </w:rPr>
        <w:t xml:space="preserve">на территории </w:t>
      </w:r>
      <w:r>
        <w:rPr>
          <w:rStyle w:val="FontStyle16"/>
        </w:rPr>
        <w:t>муниципального района «Чернянский район» Белгородской области</w:t>
      </w:r>
    </w:p>
    <w:p w:rsidR="00155B68" w:rsidRDefault="00155B68">
      <w:pPr>
        <w:ind w:left="5102"/>
        <w:jc w:val="center"/>
        <w:rPr>
          <w:b/>
          <w:bCs/>
          <w:sz w:val="28"/>
          <w:szCs w:val="28"/>
        </w:rPr>
      </w:pP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155B68" w:rsidRDefault="000E07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(п</w:t>
      </w:r>
      <w:r>
        <w:rPr>
          <w:b/>
          <w:bCs/>
          <w:sz w:val="28"/>
          <w:szCs w:val="28"/>
        </w:rPr>
        <w:t>ериодичность) их проведения</w:t>
      </w:r>
    </w:p>
    <w:p w:rsidR="00155B68" w:rsidRDefault="00155B68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155B6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155B68" w:rsidRDefault="00155B68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Подразделение и (или) должностные лица </w:t>
            </w:r>
            <w:r>
              <w:rPr>
                <w:b/>
                <w:i/>
                <w:sz w:val="22"/>
                <w:szCs w:val="22"/>
              </w:rPr>
              <w:t>управления имущественных и земельных отношений администрации Чернянского района</w:t>
            </w:r>
            <w:r>
              <w:rPr>
                <w:b/>
                <w:sz w:val="22"/>
                <w:szCs w:val="22"/>
              </w:rPr>
              <w:t>, ответственные за реализацию мероприятия</w:t>
            </w:r>
          </w:p>
          <w:p w:rsidR="00155B68" w:rsidRDefault="00155B6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Сроки (периодичность) их проведения</w:t>
            </w:r>
          </w:p>
        </w:tc>
      </w:tr>
      <w:tr w:rsidR="00155B68">
        <w:trPr>
          <w:trHeight w:val="5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  <w:p w:rsidR="00155B68" w:rsidRDefault="00155B6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</w:rPr>
              <w:t xml:space="preserve">Информирование осуществляется органом муниципального контроля посредством размещения соответствующих сведений из указанных в части 3 статьи 46 Федерального закона «О государственном контроле (надзоре) и муниципальном контроле» на официальном сайте органов </w:t>
            </w:r>
            <w:r>
              <w:rPr>
                <w:rFonts w:eastAsia="Arial"/>
                <w:color w:val="000000"/>
                <w:sz w:val="22"/>
              </w:rPr>
              <w:t>местного самоуправления Чернянского района, в районной газете «</w:t>
            </w:r>
            <w:proofErr w:type="spellStart"/>
            <w:r>
              <w:rPr>
                <w:rFonts w:eastAsia="Arial"/>
                <w:color w:val="000000"/>
                <w:sz w:val="22"/>
              </w:rPr>
              <w:t>Приосколье</w:t>
            </w:r>
            <w:proofErr w:type="spellEnd"/>
            <w:r>
              <w:rPr>
                <w:rFonts w:eastAsia="Arial"/>
                <w:color w:val="000000"/>
                <w:sz w:val="22"/>
              </w:rPr>
              <w:t>», сетевом издании «</w:t>
            </w:r>
            <w:proofErr w:type="spellStart"/>
            <w:r>
              <w:rPr>
                <w:rFonts w:eastAsia="Arial"/>
                <w:color w:val="000000"/>
                <w:sz w:val="22"/>
              </w:rPr>
              <w:t>Приосколье</w:t>
            </w:r>
            <w:proofErr w:type="spellEnd"/>
            <w:r>
              <w:rPr>
                <w:rFonts w:eastAsia="Arial"/>
                <w:color w:val="000000"/>
                <w:sz w:val="22"/>
              </w:rPr>
              <w:t xml:space="preserve"> 31».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земельных ресурсов: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начальник отдела земельных ресурсов управления имущественных и земельных отношений администрации Чернянского района;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) главный специалист-инспектор по муниципальному земельному контролю отдела земельных ресурсов управления имущественных и земельных отношений администрации Чернянского района.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необходимости в течение года</w:t>
            </w:r>
          </w:p>
          <w:p w:rsidR="00155B68" w:rsidRDefault="00155B6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5B68">
        <w:trPr>
          <w:trHeight w:val="281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155B68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155B68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Поддержание размещенных на официальном сайте сведений в актуальном состоянии и их обновление в срок не позднее 5 рабочих дней с момента их изменения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земельных ресурсов: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начальник отдела земельных ресурсов управления имущественных и земельных отнош</w:t>
            </w:r>
            <w:r>
              <w:rPr>
                <w:rFonts w:eastAsia="Calibri"/>
                <w:sz w:val="22"/>
                <w:szCs w:val="22"/>
              </w:rPr>
              <w:t>ений администрации Чернянского района;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2) главный специалист -инспектор по муниципальному земельному контролю отдела земельных ресурсов управления имущественных и земельных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155B6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</w:rPr>
              <w:t xml:space="preserve"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 (или) в случае отсутствия подтвержденных данных о том, что нарушение обязательных требований причинило </w:t>
            </w:r>
            <w:r>
              <w:rPr>
                <w:rFonts w:eastAsia="Arial"/>
                <w:color w:val="000000"/>
                <w:sz w:val="22"/>
              </w:rPr>
              <w:t>вред (ущерб) охраняемым законом ценностям либо создало угрозу причинения вреда (ущерба) охраняемым законом ценностям, орган муниципального контроля объявляет контролируемому лицу предостережение о недопустимости нарушения обязательных требований и предлага</w:t>
            </w:r>
            <w:r>
              <w:rPr>
                <w:rFonts w:eastAsia="Arial"/>
                <w:color w:val="000000"/>
                <w:sz w:val="22"/>
              </w:rPr>
              <w:t>ет принять меры по обеспечению соблюдения обязательных требований.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земельных ресурсов: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начальник отдела земельных ресурсов управления имущественных и земельных отношений;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2) главный специалист -инспектор по муниципальному земельному контролю отдел</w:t>
            </w:r>
            <w:r>
              <w:rPr>
                <w:rFonts w:eastAsia="Calibri"/>
                <w:sz w:val="22"/>
                <w:szCs w:val="22"/>
              </w:rPr>
              <w:t>а земельных ресурсов управления имущественных и земельных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155B68" w:rsidRDefault="00155B6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5B68">
        <w:trPr>
          <w:trHeight w:val="8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Проведение должностными лицами управления имущественных и земельных отношений консультаций по вопросам, </w:t>
            </w:r>
            <w:r>
              <w:rPr>
                <w:rFonts w:eastAsia="Arial"/>
                <w:color w:val="000000"/>
              </w:rPr>
              <w:t>связанным с организацией и осуществлением муниципального контроля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155B68" w:rsidRDefault="000E0767">
            <w:pPr>
              <w:jc w:val="both"/>
              <w:rPr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Консультирование может осуществляться должностным лицом органа муниципального контроля по телефону, посредством видео-конференц-связи, на личном приеме, письменно либо в ходе проведения кон</w:t>
            </w:r>
            <w:r>
              <w:rPr>
                <w:rFonts w:eastAsia="Arial"/>
                <w:color w:val="000000"/>
              </w:rPr>
              <w:t>трольного (надзорного) 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земельных ресурсов: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начальник отдела земельных ресурсов управления имущественных и земельных отношений;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2) главный специалист -инспектор по муниципальному земельному контролю отдела земельных ресурсов управления</w:t>
            </w:r>
            <w:r>
              <w:rPr>
                <w:rFonts w:eastAsia="Calibri"/>
                <w:sz w:val="22"/>
                <w:szCs w:val="22"/>
              </w:rPr>
              <w:t xml:space="preserve"> имущественных и земельных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155B68" w:rsidRDefault="00155B68">
            <w:pPr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  <w:tr w:rsidR="00155B6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B68" w:rsidRDefault="000E0767">
            <w:pPr>
              <w:jc w:val="both"/>
              <w:rPr>
                <w:rFonts w:eastAsia="Arial"/>
                <w:color w:val="000000"/>
                <w:sz w:val="22"/>
              </w:rPr>
            </w:pPr>
            <w:r>
              <w:rPr>
                <w:rFonts w:eastAsia="Arial"/>
                <w:color w:val="000000"/>
                <w:sz w:val="22"/>
              </w:rPr>
              <w:t>Профилактический визит проводится инспектором в форме профилак</w:t>
            </w:r>
            <w:r>
              <w:rPr>
                <w:rFonts w:eastAsia="Arial"/>
                <w:color w:val="000000"/>
                <w:sz w:val="22"/>
              </w:rPr>
              <w:t xml:space="preserve">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 предъявляемых к его деятельности либо к </w:t>
            </w:r>
            <w:r>
              <w:rPr>
                <w:rFonts w:eastAsia="Arial"/>
                <w:color w:val="000000"/>
                <w:sz w:val="22"/>
              </w:rPr>
              <w:t>принадлежащим ему объектам контроля.</w:t>
            </w:r>
          </w:p>
          <w:p w:rsidR="00155B68" w:rsidRDefault="000E076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sz w:val="22"/>
              </w:rPr>
            </w:pPr>
            <w:r>
              <w:rPr>
                <w:rFonts w:eastAsia="Arial"/>
                <w:color w:val="000000"/>
                <w:sz w:val="22"/>
              </w:rPr>
              <w:t>О проведении профилактического визита контролируемое лицо должно быть уведомлено не позднее, чем за 5 рабочих дней до даты его проведения.</w:t>
            </w:r>
          </w:p>
          <w:p w:rsidR="00155B68" w:rsidRDefault="000E076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2"/>
              </w:rPr>
            </w:pPr>
            <w:r>
              <w:rPr>
                <w:rFonts w:eastAsia="Arial"/>
                <w:color w:val="000000"/>
                <w:sz w:val="22"/>
              </w:rPr>
              <w:t xml:space="preserve">      Контролируемое лицо вправе отказаться от проведения профилактического визита, уведомив об этом орган муниципального контроля не позднее, чем за три рабочих дня до даты его проведения.</w:t>
            </w:r>
          </w:p>
          <w:p w:rsidR="00155B68" w:rsidRDefault="000E076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rFonts w:eastAsia="Arial"/>
                <w:color w:val="000000"/>
                <w:sz w:val="22"/>
              </w:rPr>
              <w:t>Срок проведения профилактического визита не может превышат</w:t>
            </w:r>
            <w:r>
              <w:rPr>
                <w:rFonts w:eastAsia="Arial"/>
                <w:color w:val="000000"/>
                <w:sz w:val="22"/>
              </w:rPr>
              <w:t>ь одного рабочего дня.</w:t>
            </w:r>
          </w:p>
          <w:p w:rsidR="00155B68" w:rsidRDefault="000E076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Контролируемое лицо вправе обратиться в орган муниципального контроля с заявлением о проведении в отношении его профилактического визита Подача заявления контролируемого лица в период до 1 января 2030 г. обеспечивается с использовани</w:t>
            </w:r>
            <w:r>
              <w:rPr>
                <w:rFonts w:eastAsia="Arial"/>
                <w:color w:val="000000"/>
                <w:sz w:val="22"/>
                <w:szCs w:val="22"/>
              </w:rPr>
              <w:t xml:space="preserve">ем федеральной государственной информационной системы «Единый портал государственных и муниципальных услуг (функций)». Заявление контролируемого лица подписывается усиленной квалифицированной электронной подписью, усиленной неквалифицированной электронной </w:t>
            </w:r>
            <w:r>
              <w:rPr>
                <w:rFonts w:eastAsia="Arial"/>
                <w:color w:val="000000"/>
                <w:sz w:val="22"/>
                <w:szCs w:val="22"/>
              </w:rPr>
              <w:t>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  <w:r>
              <w:rPr>
                <w:rFonts w:eastAsia="Arial"/>
                <w:color w:val="000000"/>
                <w:sz w:val="22"/>
                <w:szCs w:val="22"/>
              </w:rPr>
              <w:t>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</w:t>
            </w:r>
            <w:r>
              <w:rPr>
                <w:rFonts w:eastAsia="Arial"/>
                <w:color w:val="000000"/>
                <w:sz w:val="22"/>
                <w:szCs w:val="22"/>
              </w:rPr>
              <w:t>спользованием федеральной государственной информационной системы «Единый портал государственных и муниципальных услуг (функций)») или являющегося индивидуальным предпринимателем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Отдел земельных ресурсов: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1) начальник отдела земельных ресурсов управления им</w:t>
            </w:r>
            <w:r>
              <w:rPr>
                <w:rFonts w:eastAsia="Calibri"/>
                <w:sz w:val="22"/>
                <w:szCs w:val="22"/>
              </w:rPr>
              <w:t>ущественных и земельных отношений;</w:t>
            </w:r>
          </w:p>
          <w:p w:rsidR="00155B68" w:rsidRDefault="000E0767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2) главный специалист -инспектор по муниципальному земельному контролю отдела земельных ресурсов управления имущественных и земельных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68" w:rsidRDefault="000E0767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Профилактические визиты подлежат проведению в течение года (при наличии осно</w:t>
            </w:r>
            <w:r>
              <w:rPr>
                <w:rFonts w:eastAsia="Calibri"/>
                <w:sz w:val="22"/>
                <w:szCs w:val="22"/>
              </w:rPr>
              <w:t>ваний).</w:t>
            </w:r>
          </w:p>
          <w:p w:rsidR="00155B68" w:rsidRDefault="00155B6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155B68" w:rsidRDefault="00155B68">
      <w:pPr>
        <w:jc w:val="both"/>
        <w:rPr>
          <w:rFonts w:eastAsia="Calibri"/>
          <w:sz w:val="22"/>
          <w:szCs w:val="22"/>
          <w:lang w:eastAsia="en-US"/>
        </w:rPr>
      </w:pPr>
    </w:p>
    <w:sectPr w:rsidR="00155B68">
      <w:headerReference w:type="default" r:id="rId13"/>
      <w:footerReference w:type="default" r:id="rId14"/>
      <w:pgSz w:w="11906" w:h="16838"/>
      <w:pgMar w:top="426" w:right="567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B68" w:rsidRDefault="000E0767">
      <w:r>
        <w:separator/>
      </w:r>
    </w:p>
  </w:endnote>
  <w:endnote w:type="continuationSeparator" w:id="0">
    <w:p w:rsidR="00155B68" w:rsidRDefault="000E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st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B68" w:rsidRDefault="00155B68">
    <w:pPr>
      <w:pStyle w:val="af1"/>
      <w:jc w:val="center"/>
    </w:pPr>
  </w:p>
  <w:p w:rsidR="00155B68" w:rsidRDefault="00155B6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B68" w:rsidRDefault="000E0767">
      <w:r>
        <w:separator/>
      </w:r>
    </w:p>
  </w:footnote>
  <w:footnote w:type="continuationSeparator" w:id="0">
    <w:p w:rsidR="00155B68" w:rsidRDefault="000E0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B68" w:rsidRDefault="000E076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155B68" w:rsidRDefault="00155B6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888"/>
    <w:multiLevelType w:val="multilevel"/>
    <w:tmpl w:val="F9303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ED2"/>
    <w:multiLevelType w:val="multilevel"/>
    <w:tmpl w:val="93DE13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864FC"/>
    <w:multiLevelType w:val="multilevel"/>
    <w:tmpl w:val="BB94932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C31C15"/>
    <w:multiLevelType w:val="multilevel"/>
    <w:tmpl w:val="1A70A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477917"/>
    <w:multiLevelType w:val="multilevel"/>
    <w:tmpl w:val="5712DAA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55B6E"/>
    <w:multiLevelType w:val="multilevel"/>
    <w:tmpl w:val="CA9A1D5C"/>
    <w:lvl w:ilvl="0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174579F4"/>
    <w:multiLevelType w:val="multilevel"/>
    <w:tmpl w:val="9C1418DC"/>
    <w:lvl w:ilvl="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4B5F1C"/>
    <w:multiLevelType w:val="multilevel"/>
    <w:tmpl w:val="043E0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C0DF7"/>
    <w:multiLevelType w:val="multilevel"/>
    <w:tmpl w:val="DE38AECC"/>
    <w:lvl w:ilvl="0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9" w15:restartNumberingAfterBreak="0">
    <w:nsid w:val="26A952D4"/>
    <w:multiLevelType w:val="multilevel"/>
    <w:tmpl w:val="C0B2002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453120"/>
    <w:multiLevelType w:val="multilevel"/>
    <w:tmpl w:val="AA18EB66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CE00A7"/>
    <w:multiLevelType w:val="multilevel"/>
    <w:tmpl w:val="5D1ECDC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32872"/>
    <w:multiLevelType w:val="multilevel"/>
    <w:tmpl w:val="BE289566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6139BB"/>
    <w:multiLevelType w:val="multilevel"/>
    <w:tmpl w:val="14509748"/>
    <w:lvl w:ilvl="0">
      <w:start w:val="1"/>
      <w:numFmt w:val="decimal"/>
      <w:lvlText w:val="%1)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4" w15:restartNumberingAfterBreak="0">
    <w:nsid w:val="4FAD6409"/>
    <w:multiLevelType w:val="multilevel"/>
    <w:tmpl w:val="EED2AD8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C13790"/>
    <w:multiLevelType w:val="multilevel"/>
    <w:tmpl w:val="83A6EEA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E0760"/>
    <w:multiLevelType w:val="multilevel"/>
    <w:tmpl w:val="23921BA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2"/>
  </w:num>
  <w:num w:numId="8">
    <w:abstractNumId w:val="16"/>
  </w:num>
  <w:num w:numId="9">
    <w:abstractNumId w:val="6"/>
  </w:num>
  <w:num w:numId="10">
    <w:abstractNumId w:val="4"/>
  </w:num>
  <w:num w:numId="11">
    <w:abstractNumId w:val="9"/>
  </w:num>
  <w:num w:numId="12">
    <w:abstractNumId w:val="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68"/>
    <w:rsid w:val="000E0767"/>
    <w:rsid w:val="00155B68"/>
    <w:rsid w:val="008B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1E7C"/>
  <w15:docId w15:val="{F18FC8D0-E132-4135-891F-33DE5129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styleId="25">
    <w:name w:val="Body Text Indent 2"/>
    <w:basedOn w:val="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Pr>
      <w:sz w:val="28"/>
      <w:szCs w:val="28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Pr>
      <w:sz w:val="24"/>
      <w:szCs w:val="24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</w:style>
  <w:style w:type="table" w:styleId="af3">
    <w:name w:val="Table Grid"/>
    <w:basedOn w:val="a1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link w:val="af5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annotation reference"/>
    <w:uiPriority w:val="99"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link w:val="af7"/>
    <w:uiPriority w:val="99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link w:val="af9"/>
    <w:uiPriority w:val="99"/>
    <w:rPr>
      <w:rFonts w:ascii="Calibri" w:eastAsia="Calibri" w:hAnsi="Calibri"/>
      <w:b/>
      <w:bCs/>
      <w:lang w:eastAsia="en-US"/>
    </w:rPr>
  </w:style>
  <w:style w:type="paragraph" w:styleId="afb">
    <w:name w:val="Revision"/>
    <w:hidden/>
    <w:uiPriority w:val="99"/>
    <w:semiHidden/>
    <w:rPr>
      <w:rFonts w:ascii="Calibri" w:eastAsia="Calibri" w:hAnsi="Calibri"/>
      <w:sz w:val="22"/>
      <w:szCs w:val="22"/>
      <w:lang w:eastAsia="en-US"/>
    </w:rPr>
  </w:style>
  <w:style w:type="table" w:customStyle="1" w:styleId="14">
    <w:name w:val="Сетка таблицы1"/>
    <w:basedOn w:val="a1"/>
    <w:next w:val="af3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Pr>
      <w:rFonts w:ascii="courier std" w:hAnsi="courier std" w:cs="courier std"/>
      <w:color w:val="000000"/>
      <w:sz w:val="24"/>
      <w:szCs w:val="24"/>
    </w:rPr>
  </w:style>
  <w:style w:type="table" w:customStyle="1" w:styleId="26">
    <w:name w:val="Сетка таблицы2"/>
    <w:basedOn w:val="a1"/>
    <w:next w:val="af3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next w:val="af3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Hyperlink"/>
    <w:rPr>
      <w:color w:val="0563C1"/>
      <w:u w:val="single"/>
    </w:rPr>
  </w:style>
  <w:style w:type="character" w:customStyle="1" w:styleId="30">
    <w:name w:val="Заголовок 3 Знак"/>
    <w:link w:val="3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f5">
    <w:name w:val="Абзац списка Знак"/>
    <w:link w:val="af4"/>
    <w:uiPriority w:val="34"/>
    <w:rPr>
      <w:rFonts w:ascii="Calibri" w:eastAsia="Calibri" w:hAnsi="Calibri"/>
      <w:sz w:val="22"/>
      <w:szCs w:val="22"/>
      <w:lang w:eastAsia="en-US"/>
    </w:rPr>
  </w:style>
  <w:style w:type="table" w:customStyle="1" w:styleId="33">
    <w:name w:val="Сетка таблицы3"/>
    <w:basedOn w:val="a1"/>
    <w:next w:val="af3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8"/>
    <w:basedOn w:val="a1"/>
    <w:next w:val="af3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f3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1"/>
    <w:next w:val="af3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Pr>
      <w:sz w:val="28"/>
      <w:szCs w:val="28"/>
    </w:rPr>
  </w:style>
  <w:style w:type="paragraph" w:styleId="afd">
    <w:name w:val="footnote text"/>
    <w:basedOn w:val="a"/>
    <w:link w:val="afe"/>
    <w:rPr>
      <w:sz w:val="20"/>
      <w:szCs w:val="20"/>
    </w:rPr>
  </w:style>
  <w:style w:type="character" w:customStyle="1" w:styleId="afe">
    <w:name w:val="Текст сноски Знак"/>
    <w:basedOn w:val="a0"/>
    <w:link w:val="afd"/>
  </w:style>
  <w:style w:type="character" w:styleId="aff">
    <w:name w:val="footnote reference"/>
    <w:rPr>
      <w:vertAlign w:val="superscript"/>
    </w:rPr>
  </w:style>
  <w:style w:type="character" w:styleId="aff0">
    <w:name w:val="Emphasis"/>
    <w:qFormat/>
    <w:rPr>
      <w:i/>
      <w:iCs/>
    </w:rPr>
  </w:style>
  <w:style w:type="paragraph" w:styleId="aff1">
    <w:name w:val="Title"/>
    <w:basedOn w:val="a"/>
    <w:next w:val="a"/>
    <w:link w:val="aff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2">
    <w:name w:val="Заголовок Знак"/>
    <w:link w:val="aff1"/>
    <w:rPr>
      <w:rFonts w:ascii="Calibri Light" w:eastAsia="Times New Roman" w:hAnsi="Calibri Light" w:cs="Times New Roman"/>
      <w:b/>
      <w:bCs/>
      <w:sz w:val="32"/>
      <w:szCs w:val="32"/>
    </w:rPr>
  </w:style>
  <w:style w:type="paragraph" w:styleId="aff3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ff4">
    <w:name w:val="caption"/>
    <w:basedOn w:val="a"/>
    <w:next w:val="a"/>
    <w:qFormat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f5">
    <w:name w:val="Базовый"/>
    <w:pPr>
      <w:tabs>
        <w:tab w:val="left" w:pos="720"/>
      </w:tabs>
      <w:spacing w:after="200" w:line="276" w:lineRule="auto"/>
    </w:pPr>
    <w:rPr>
      <w:lang w:eastAsia="zh-CN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pacing w:val="-10"/>
      <w:sz w:val="28"/>
      <w:szCs w:val="28"/>
    </w:rPr>
  </w:style>
  <w:style w:type="paragraph" w:customStyle="1" w:styleId="15">
    <w:name w:val="Абзац списка1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hernyanskijrajon-r31.gosweb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User</cp:lastModifiedBy>
  <cp:revision>2</cp:revision>
  <dcterms:created xsi:type="dcterms:W3CDTF">2024-09-23T08:19:00Z</dcterms:created>
  <dcterms:modified xsi:type="dcterms:W3CDTF">2024-09-23T08:19:00Z</dcterms:modified>
</cp:coreProperties>
</file>