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БЕЛГОРОДСКАЯ ОБЛАСТЬ</w:t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ЧЕРНЯНСКИЙ РАЙОН</w:t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2619368</wp:posOffset>
                </wp:positionH>
                <wp:positionV relativeFrom="paragraph">
                  <wp:posOffset>34249</wp:posOffset>
                </wp:positionV>
                <wp:extent cx="638175" cy="762000"/>
                <wp:effectExtent l="0" t="0" r="0" b="0"/>
                <wp:wrapNone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966817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38172" cy="7619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06.25pt;mso-position-horizontal:absolute;mso-position-vertical-relative:text;margin-top:2.70pt;mso-position-vertical:absolute;width:50.25pt;height:60.00pt;mso-wrap-distance-left:9.07pt;mso-wrap-distance-top:0.00pt;mso-wrap-distance-right:9.07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r/>
      <w:r/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АДМИНИСТРАЦИЯ МУНИЦИПАЛЬНОГО РАЙОНА</w:t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"ЧЕРНЯНСКИЙ РАЙОН" БЕЛГОРОДСКОЙ ОБЛАСТИ</w:t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8"/>
          <w:szCs w:val="28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П О С Т А Н О В Л Е Н И Е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2"/>
          <w:szCs w:val="22"/>
        </w:rPr>
      </w:pPr>
      <w:r>
        <w:rPr>
          <w:rFonts w:eastAsia="Andale Sans UI"/>
          <w:b/>
          <w:bCs/>
          <w:color w:val="000000"/>
          <w:spacing w:val="-5"/>
          <w:sz w:val="22"/>
          <w:szCs w:val="22"/>
        </w:rPr>
        <w:t xml:space="preserve">п. Чернянка</w:t>
      </w:r>
      <w:r>
        <w:rPr>
          <w:rFonts w:eastAsia="Andale Sans UI"/>
          <w:b/>
          <w:bCs/>
          <w:color w:val="000000"/>
          <w:spacing w:val="-5"/>
          <w:sz w:val="22"/>
          <w:szCs w:val="22"/>
        </w:rPr>
      </w:r>
      <w:r>
        <w:rPr>
          <w:rFonts w:eastAsia="Andale Sans UI"/>
          <w:b/>
          <w:bCs/>
          <w:color w:val="000000"/>
          <w:spacing w:val="-5"/>
          <w:sz w:val="22"/>
          <w:szCs w:val="22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rPr>
          <w:rFonts w:eastAsia="Andale Sans UI"/>
          <w:b/>
          <w:bCs/>
          <w:color w:val="000000"/>
          <w:spacing w:val="-5"/>
          <w:sz w:val="28"/>
          <w:szCs w:val="28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"___" __________ 2024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г.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       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              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  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      № _____    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  <w:t xml:space="preserve">  </w:t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8"/>
          <w:szCs w:val="28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center"/>
        <w:spacing w:line="276" w:lineRule="auto"/>
        <w:rPr>
          <w:b/>
          <w:sz w:val="28"/>
          <w:szCs w:val="28"/>
        </w:rPr>
      </w:pPr>
      <w:r/>
      <w:bookmarkStart w:id="0" w:name="_Hlk35860156"/>
      <w:r>
        <w:rPr>
          <w:b/>
          <w:sz w:val="28"/>
          <w:szCs w:val="28"/>
        </w:rPr>
        <w:t xml:space="preserve">Об утверждении прогноза</w:t>
      </w:r>
      <w:r>
        <w:rPr>
          <w:b/>
          <w:sz w:val="28"/>
          <w:szCs w:val="28"/>
        </w:rPr>
        <w:t xml:space="preserve"> социально-экономического развития муниципаль</w:t>
      </w:r>
      <w:r>
        <w:rPr>
          <w:b/>
          <w:sz w:val="28"/>
          <w:szCs w:val="28"/>
        </w:rPr>
        <w:t xml:space="preserve">ного района «Чернянский район» Белгородской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2025</w:t>
      </w:r>
      <w:r>
        <w:rPr>
          <w:b/>
          <w:sz w:val="28"/>
          <w:szCs w:val="28"/>
        </w:rPr>
        <w:t xml:space="preserve"> год и на плановый период до </w:t>
      </w:r>
      <w:r>
        <w:rPr>
          <w:b/>
          <w:sz w:val="28"/>
          <w:szCs w:val="28"/>
        </w:rPr>
        <w:t xml:space="preserve">2027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851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 xml:space="preserve">173 </w:t>
      </w:r>
      <w:r>
        <w:rPr>
          <w:sz w:val="28"/>
          <w:szCs w:val="28"/>
        </w:rPr>
        <w:t xml:space="preserve">Бюджетного кодекса Российской Федерации,</w:t>
      </w:r>
      <w:r>
        <w:rPr>
          <w:sz w:val="28"/>
          <w:szCs w:val="28"/>
        </w:rPr>
        <w:t xml:space="preserve">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2014 г. № 172-ФЗ «О стратегическом планировании в Российской Федерации»,</w:t>
      </w:r>
      <w:r>
        <w:rPr>
          <w:sz w:val="28"/>
          <w:szCs w:val="28"/>
        </w:rPr>
        <w:t xml:space="preserve"> решением Муниципального</w:t>
      </w:r>
      <w:r>
        <w:rPr>
          <w:sz w:val="28"/>
          <w:szCs w:val="28"/>
        </w:rPr>
        <w:t xml:space="preserve"> совета Чернянского района от 29 апреля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Положения о бюджетном</w:t>
      </w:r>
      <w:r>
        <w:rPr>
          <w:sz w:val="28"/>
          <w:szCs w:val="28"/>
        </w:rPr>
        <w:t xml:space="preserve"> устройстве и бюджетном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процессе в муниципальном районе «Чернянский район» Белгородской области», </w:t>
      </w:r>
      <w:r>
        <w:rPr>
          <w:sz w:val="28"/>
          <w:szCs w:val="28"/>
          <w:highlight w:val="white"/>
        </w:rPr>
        <w:t xml:space="preserve">постановлением администрации Чернянского района от </w:t>
      </w:r>
      <w:r>
        <w:rPr>
          <w:sz w:val="28"/>
          <w:szCs w:val="28"/>
          <w:highlight w:val="white"/>
        </w:rPr>
        <w:t xml:space="preserve">27</w:t>
      </w:r>
      <w:r>
        <w:rPr>
          <w:sz w:val="28"/>
          <w:szCs w:val="28"/>
          <w:highlight w:val="white"/>
        </w:rPr>
        <w:t xml:space="preserve"> июля</w:t>
      </w:r>
      <w:r>
        <w:rPr>
          <w:sz w:val="28"/>
          <w:szCs w:val="28"/>
          <w:highlight w:val="white"/>
        </w:rPr>
        <w:t xml:space="preserve"> 202</w:t>
      </w:r>
      <w:r>
        <w:rPr>
          <w:sz w:val="28"/>
          <w:szCs w:val="28"/>
          <w:highlight w:val="white"/>
        </w:rPr>
        <w:t xml:space="preserve">4 года № </w:t>
      </w:r>
      <w:r>
        <w:rPr>
          <w:sz w:val="28"/>
          <w:szCs w:val="28"/>
          <w:highlight w:val="white"/>
        </w:rPr>
        <w:t xml:space="preserve">395 «Об утверждении календарного плана составления проекта консолидированного бю</w:t>
      </w:r>
      <w:r>
        <w:rPr>
          <w:sz w:val="28"/>
          <w:szCs w:val="28"/>
          <w:highlight w:val="white"/>
        </w:rPr>
        <w:t xml:space="preserve">джета Чернянского р</w:t>
      </w:r>
      <w:r>
        <w:rPr>
          <w:sz w:val="28"/>
          <w:szCs w:val="28"/>
          <w:highlight w:val="white"/>
        </w:rPr>
        <w:t xml:space="preserve">айона на 2025 год и плановый период 2026</w:t>
      </w:r>
      <w:r>
        <w:rPr>
          <w:sz w:val="28"/>
          <w:szCs w:val="28"/>
          <w:highlight w:val="white"/>
        </w:rPr>
        <w:t xml:space="preserve"> и                    202</w:t>
      </w:r>
      <w:r>
        <w:rPr>
          <w:sz w:val="28"/>
          <w:szCs w:val="28"/>
          <w:highlight w:val="white"/>
        </w:rPr>
        <w:t xml:space="preserve">7 годов»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постановлением 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дминистрации муниципального района «Чернянский район» Белгородс</w:t>
      </w:r>
      <w:r>
        <w:rPr>
          <w:sz w:val="28"/>
          <w:szCs w:val="28"/>
          <w:highlight w:val="white"/>
        </w:rPr>
        <w:t xml:space="preserve">кой области от 13 мая 2019 г. </w:t>
      </w:r>
      <w:r>
        <w:rPr>
          <w:sz w:val="28"/>
          <w:szCs w:val="28"/>
          <w:highlight w:val="white"/>
        </w:rPr>
        <w:t xml:space="preserve">№ 262</w:t>
      </w:r>
      <w:r>
        <w:rPr>
          <w:sz w:val="28"/>
          <w:szCs w:val="28"/>
          <w:highlight w:val="white"/>
        </w:rPr>
        <w:t xml:space="preserve"> «Об утверждении Порядка разработки, корректировки, осуществления мониторинга и конт</w:t>
      </w:r>
      <w:r>
        <w:rPr>
          <w:sz w:val="28"/>
          <w:szCs w:val="28"/>
        </w:rPr>
        <w:t xml:space="preserve">роля реализации прогнозов социально-экономического развития муниципального района «Чернянский район» на среднесрочный и долгосрочный периоды», </w:t>
      </w:r>
      <w:r>
        <w:rPr>
          <w:sz w:val="28"/>
          <w:szCs w:val="28"/>
        </w:rPr>
        <w:t xml:space="preserve">руководствуясь Гражданским кодексом Российской Федерации и Уставом муниципального района «Чернянский район» Белгородской области, администрация муниципального района «Чернянский район» Белгородской области </w:t>
      </w:r>
      <w:r>
        <w:rPr>
          <w:b/>
          <w:sz w:val="28"/>
          <w:szCs w:val="28"/>
        </w:rPr>
        <w:t xml:space="preserve">п о с т а н о в л я е т</w:t>
      </w:r>
      <w:r>
        <w:rPr>
          <w:sz w:val="28"/>
          <w:szCs w:val="28"/>
        </w:rPr>
        <w:t xml:space="preserve">: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1. Утвердить прогноз социально-экономического развития муниципального района «Чернянский район» </w:t>
      </w:r>
      <w:r>
        <w:rPr>
          <w:sz w:val="28"/>
          <w:szCs w:val="28"/>
          <w:highlight w:val="white"/>
        </w:rPr>
        <w:t xml:space="preserve">Белгородской области </w:t>
      </w:r>
      <w:r>
        <w:rPr>
          <w:sz w:val="28"/>
          <w:szCs w:val="28"/>
          <w:highlight w:val="white"/>
        </w:rPr>
        <w:t xml:space="preserve">на                    2025 год и на плановый период до 2027</w:t>
      </w:r>
      <w:r>
        <w:rPr>
          <w:sz w:val="28"/>
          <w:szCs w:val="28"/>
          <w:highlight w:val="white"/>
        </w:rPr>
        <w:t xml:space="preserve"> года</w:t>
      </w:r>
      <w:r>
        <w:rPr>
          <w:bCs/>
          <w:sz w:val="28"/>
          <w:szCs w:val="28"/>
          <w:highlight w:val="white"/>
        </w:rPr>
        <w:t xml:space="preserve"> (прилагается</w:t>
      </w:r>
      <w:r>
        <w:rPr>
          <w:bCs/>
          <w:sz w:val="28"/>
          <w:szCs w:val="28"/>
          <w:highlight w:val="white"/>
        </w:rPr>
        <w:t xml:space="preserve">).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ind w:firstLine="709"/>
        <w:jc w:val="both"/>
        <w:spacing w:line="276" w:lineRule="auto"/>
        <w:rPr>
          <w:sz w:val="28"/>
          <w:szCs w:val="28"/>
          <w:highlight w:val="cyan"/>
        </w:rPr>
      </w:pP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Постановление администрации муниципального района</w:t>
      </w:r>
      <w:r>
        <w:rPr>
          <w:sz w:val="28"/>
          <w:szCs w:val="28"/>
          <w:highlight w:val="white"/>
        </w:rPr>
        <w:t xml:space="preserve"> «Чернянский район» Белгородской обла</w:t>
      </w:r>
      <w:r>
        <w:rPr>
          <w:sz w:val="28"/>
          <w:szCs w:val="28"/>
          <w:highlight w:val="white"/>
        </w:rPr>
        <w:t xml:space="preserve">сти от 17 ноября 2023</w:t>
      </w:r>
      <w:r>
        <w:rPr>
          <w:sz w:val="28"/>
          <w:szCs w:val="28"/>
          <w:highlight w:val="white"/>
        </w:rPr>
        <w:t xml:space="preserve"> года</w:t>
      </w:r>
      <w:r>
        <w:rPr>
          <w:sz w:val="28"/>
          <w:szCs w:val="28"/>
          <w:highlight w:val="white"/>
        </w:rPr>
        <w:t xml:space="preserve"> № 671 </w:t>
      </w:r>
      <w:r>
        <w:rPr>
          <w:sz w:val="28"/>
          <w:szCs w:val="28"/>
          <w:highlight w:val="white"/>
        </w:rPr>
        <w:t xml:space="preserve">«О</w:t>
      </w:r>
      <w:r>
        <w:rPr>
          <w:sz w:val="28"/>
          <w:szCs w:val="28"/>
          <w:highlight w:val="white"/>
        </w:rPr>
        <w:t xml:space="preserve">б утверждении прогноза</w:t>
      </w:r>
      <w:r>
        <w:rPr>
          <w:sz w:val="28"/>
          <w:szCs w:val="28"/>
          <w:highlight w:val="white"/>
        </w:rPr>
        <w:t xml:space="preserve"> социально-экономического развития муниципального р</w:t>
      </w:r>
      <w:r>
        <w:rPr>
          <w:sz w:val="28"/>
          <w:szCs w:val="28"/>
          <w:highlight w:val="white"/>
        </w:rPr>
        <w:t xml:space="preserve">айона «Чернянский район» Белгородской области на 2024</w:t>
      </w:r>
      <w:r>
        <w:rPr>
          <w:sz w:val="28"/>
          <w:szCs w:val="28"/>
          <w:highlight w:val="white"/>
        </w:rPr>
        <w:t xml:space="preserve"> год и на период до                  2026 года»,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признать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утратившим силу. </w:t>
      </w:r>
      <w:r>
        <w:rPr>
          <w:sz w:val="28"/>
          <w:szCs w:val="28"/>
          <w:highlight w:val="cyan"/>
        </w:rPr>
      </w:r>
      <w:r>
        <w:rPr>
          <w:sz w:val="28"/>
          <w:szCs w:val="28"/>
          <w:highlight w:val="cyan"/>
        </w:rPr>
      </w:r>
    </w:p>
    <w:p>
      <w:pPr>
        <w:pStyle w:val="860"/>
        <w:ind w:firstLine="709"/>
        <w:jc w:val="both"/>
        <w:spacing w:line="276" w:lineRule="auto"/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авлению организационно-контрольной и кадровой работы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(Нечепуренко Е.К.)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обеспечить опубликование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го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сетевом издании «Приосколье 31» (раздел «Официальные документы» (адрес сайта: http://www.GAZETA-PRIOSKOLYE.RU) и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разместить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на официальном сайте органов местного самоуправления Чернянского района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сети «Интернет»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(адрес сайта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 </w:t>
      </w:r>
      <w:hyperlink r:id="rId10" w:tooltip="http://www.chernyanskijrajon-r31.gosweb.gosuslugi.ru" w:history="1">
        <w:r>
          <w:rPr>
            <w:rStyle w:val="842"/>
            <w:rFonts w:ascii="Times New Roman" w:hAnsi="Times New Roman" w:cs="Times New Roman"/>
            <w:b w:val="0"/>
            <w:bCs w:val="0"/>
            <w:color w:val="000000" w:themeColor="text1"/>
            <w:sz w:val="28"/>
            <w:szCs w:val="28"/>
            <w:highlight w:val="white"/>
          </w:rPr>
          <w:t xml:space="preserve">http://www.chernyanskijrajon-r31.gosweb.gosuslugi.ru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порядке,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предусмотренном Уставом Чернянского района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860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4</w:t>
      </w:r>
      <w:r>
        <w:rPr>
          <w:sz w:val="28"/>
          <w:szCs w:val="28"/>
          <w:highlight w:val="white"/>
        </w:rPr>
        <w:t xml:space="preserve">. 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админ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 экон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омическому развитию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(Белянская Н.М.)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9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38"/>
        <w:gridCol w:w="222"/>
      </w:tblGrid>
      <w:tr>
        <w:trPr>
          <w:cantSplit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38" w:type="dxa"/>
            <w:vAlign w:val="top"/>
            <w:vMerge w:val="restart"/>
            <w:textDirection w:val="lrTb"/>
            <w:noWrap w:val="false"/>
          </w:tcPr>
          <w:tbl>
            <w:tblPr>
              <w:tblW w:w="9922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812"/>
              <w:gridCol w:w="1417"/>
              <w:gridCol w:w="2693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12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Глава администрации </w:t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Чернянского района </w:t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1417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pStyle w:val="860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693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Т.П. Круглякова</w:t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ind w:right="-108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38" w:type="dxa"/>
            <w:vAlign w:val="center"/>
            <w:vMerge w:val="continue"/>
            <w:textDirection w:val="lrTb"/>
            <w:noWrap w:val="false"/>
          </w:tcPr>
          <w:p>
            <w:pPr>
              <w:pStyle w:val="86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8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sectPr>
          <w:footnotePr/>
          <w:endnotePr/>
          <w:type w:val="continuous"/>
          <w:pgSz w:w="11907" w:h="16834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/>
      <w:r/>
    </w:p>
    <w:tbl>
      <w:tblPr>
        <w:tblStyle w:val="716"/>
        <w:tblW w:w="0" w:type="auto"/>
        <w:tblLook w:val="04A0" w:firstRow="1" w:lastRow="0" w:firstColumn="1" w:lastColumn="0" w:noHBand="0" w:noVBand="1"/>
      </w:tblPr>
      <w:tblGrid>
        <w:gridCol w:w="3380"/>
        <w:gridCol w:w="1847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>
        <w:trPr>
          <w:trHeight w:val="255"/>
        </w:trPr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05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                                                                                                                                                                                                                Приложение №1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                                                                                                                                                                                              к постановлению администрации 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                                                                                                                                                                                   муниципального района «Чернянский район» 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                                                                                                                                                                                              от «____» _______ 2024 г. № ______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Основные показатели прогноза социально-экономического развития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</w:tc>
      </w:tr>
      <w:tr>
        <w:trPr>
          <w:trHeight w:val="255"/>
        </w:trPr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0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2"/>
                <w:u w:val="none"/>
                <w:vertAlign w:val="baseline"/>
              </w:rPr>
              <w:t xml:space="preserve">муниципального района "Чернянский район"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2"/>
                <w:highlight w:val="white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2"/>
                <w:highlight w:val="white"/>
                <w:u w:val="none"/>
                <w:vertAlign w:val="baselin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2"/>
                <w:highlight w:val="white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2"/>
                <w:u w:val="none"/>
                <w:vertAlign w:val="baseline"/>
              </w:rPr>
              <w:t xml:space="preserve"> на 2025-2027 годы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95"/>
        </w:trPr>
        <w:tc>
          <w:tcPr>
            <w:gridSpan w:val="1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05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trHeight w:val="294"/>
        </w:trPr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Показатели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Единица измерения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отчет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оценка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прогноз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94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9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консерва-тивный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базовый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консерва-тивный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базовый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консерва-тивный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базовый вариант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Промышленное производство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Индекс промышленного производства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5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- 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11 436,5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11 692,0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12 280,1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12 781,0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12781,0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13 229,6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13 229,6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13 628,7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13 628,7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2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9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Добыча полезных ископаемых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9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9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Обрабатывающие производства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11 298,4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11 549,3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12 126,8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12 611,8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12 611,8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13 053,2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13 053,2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13 444,8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13 444,8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8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2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Обеспечение электрической энергией, газом и паром; кондиционирование воздуха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25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107,0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1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04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6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Сельское хозяйство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производства продукции сельского хозяйства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10 056,5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10 489,3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9 832,0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11 612,4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11 612,4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12 475,7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12 475,7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13 310,8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13 310,8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2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Продукция растениеводства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7 219,0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7 774,2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6 806,2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8 212,1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8 212,1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8 808,6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8 808,6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9 363,5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9 363,5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Продукция животноводства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2 837,5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2 715,1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3 125,9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3 400,3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3 400,3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3 667,2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3 667,2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3 947,4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3 947,4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Инвестиции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инвестиции в основной капитал                                                                        (за счет всех источников финансирования)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1 191,2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1 555,8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1 591,6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1 621,8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1 621,8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1 649,4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1 649,4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1 674,1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1 674,1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59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1 089,3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1 302,1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1 332,1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1 368,1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1 368,1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1 409,1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1 409,1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1 454,2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1 454,2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Строительство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выполненных работ по виду деятельности «Строительство»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1 280,10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706,9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349,5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401,9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412,4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502,4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523,8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653,1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701,8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46,0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118,9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123,9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128,2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1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Строительство жилых домов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кв. метров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9 854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10 248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14 274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14 292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14 292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14 302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14 302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14 307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14 307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населением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кв. метров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9 168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10 044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14 142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14 175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7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109,6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1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Потребительский рынок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Оборот розничной торговли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3 952,3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4 529,4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5 140,0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5 460,0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5 480,0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5 870,0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5 900,0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6 351,0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6 390,0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106,1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Оборот общественного питания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79,0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118,8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115,4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105,6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платных услуг населению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232,6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242,8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264,4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264,4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сопоставимых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99,0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3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Малое и среднее предпринимательство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03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Количество малых и средних предприятий (включая микропредприятия) (на конец года) </w:t>
            </w:r>
            <w:r>
              <w:rPr>
                <w:rFonts w:ascii="Times New Roman" w:hAnsi="Times New Roman" w:eastAsia="Times New Roman" w:cs="Times New Roman"/>
                <w:b w:val="0"/>
                <w:i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по данным ЕРСМП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единиц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912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9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Количество индивидуальных предпринимателей (на конец года)</w:t>
            </w:r>
            <w:r>
              <w:rPr>
                <w:rFonts w:ascii="Times New Roman" w:hAnsi="Times New Roman" w:eastAsia="Times New Roman" w:cs="Times New Roman"/>
                <w:b w:val="0"/>
                <w:i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 по данным ЕРСМП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единиц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813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878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881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53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2 300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2 306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2 300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2 314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0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Оборот малых и средних предприятий (включая микропредприятия) </w:t>
            </w:r>
            <w:r>
              <w:rPr>
                <w:rFonts w:ascii="Times New Roman" w:hAnsi="Times New Roman" w:eastAsia="Times New Roman" w:cs="Times New Roman"/>
                <w:b w:val="0"/>
                <w:i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по данным Белгородстата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5 817,3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9 224,7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9 316,9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9 335,3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9 363,5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9 354,0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9 410,3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9 372,7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9 457,4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                                                  (в действующих ценах)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85,7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Финансы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7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Прибыль для целей налогообложения - 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867,4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886,5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906,9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906,9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928,7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928,7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Бюджетный баланс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8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Собственные доходы  бюджета муниципального района (городского округа)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2268902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2359990,1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2209010,3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2249496,8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2249496,8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1662275,9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1662275,9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1736150,9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1736150,9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8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Расходы бюджета муниципального района (городского округа)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2212315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2342792,9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2298558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2249496,8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2249496,8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1669375,9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1669375,9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1736150,9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1736150,9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Дефицит (-), профицит (+) бюджета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56587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17197,2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-89547,7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-7100,0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7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Население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Численность населения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на 1 января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среднегодовая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28,05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8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Численность населения трудоспособного возраста              (на 1 января)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тыс. 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Коэффициент рождаемости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                            на 1000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Коэффициент смертности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                            на 1000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Коэффициент естественной убыли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                               на 1000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-8,8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-6,9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8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Коэффициент миграционного прироста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                                на 1000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6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Труд, занятость и уровень жизни населения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1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Среднесписочная численность работников   (по полному кругу организаций)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6 722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6 596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6 596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6 596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Фонд начисленной заработной платы работников организаций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млн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3 145,5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3 496,8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4 194,1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4 450,4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4 668,4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4 916,1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5 163,3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5 420,6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5 581,5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106,1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7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Среднемесячная номинальная начисленная заработная плата работников организаций – 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38 995,1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44 468,50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53 117,00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54 278,3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58 980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59 984,3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65 233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66 222,80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70 517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4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vMerge w:val="continue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 % к предыдущему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Численность официально зарегистрированных безработных на конец года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человек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sectPr>
          <w:footnotePr/>
          <w:endnotePr/>
          <w:type w:val="nextPage"/>
          <w:pgSz w:w="16834" w:h="11907" w:orient="landscape"/>
          <w:pgMar w:top="1701" w:right="1134" w:bottom="567" w:left="1134" w:header="709" w:footer="709" w:gutter="0"/>
          <w:cols w:num="1" w:sep="0" w:space="708" w:equalWidth="1"/>
          <w:docGrid w:linePitch="360"/>
          <w:titlePg/>
        </w:sectPr>
      </w:pPr>
      <w:r/>
      <w:r/>
    </w:p>
    <w:p>
      <w:r/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ndale Sans UI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10">
    <w:multiLevelType w:val="hybridMultilevel"/>
    <w:lvl w:ilvl="0">
      <w:start w:val="1"/>
      <w:numFmt w:val="decimal"/>
      <w:pStyle w:val="87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pPr>
      <w:widowControl w:val="off"/>
    </w:pPr>
    <w:rPr>
      <w:lang w:val="ru-RU" w:eastAsia="ru-RU" w:bidi="ar-SA"/>
    </w:rPr>
  </w:style>
  <w:style w:type="paragraph" w:styleId="861">
    <w:name w:val="Заголовок 2"/>
    <w:basedOn w:val="860"/>
    <w:next w:val="860"/>
    <w:link w:val="872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62">
    <w:name w:val="Основной шрифт абзаца"/>
    <w:next w:val="862"/>
    <w:link w:val="860"/>
  </w:style>
  <w:style w:type="table" w:styleId="863">
    <w:name w:val="Обычная таблица"/>
    <w:next w:val="863"/>
    <w:link w:val="860"/>
    <w:semiHidden/>
    <w:tblPr/>
  </w:style>
  <w:style w:type="numbering" w:styleId="864">
    <w:name w:val="Нет списка"/>
    <w:next w:val="864"/>
    <w:link w:val="860"/>
    <w:semiHidden/>
  </w:style>
  <w:style w:type="paragraph" w:styleId="865">
    <w:name w:val="Название объекта"/>
    <w:basedOn w:val="860"/>
    <w:next w:val="860"/>
    <w:link w:val="860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66">
    <w:name w:val="Сетка таблицы"/>
    <w:basedOn w:val="863"/>
    <w:next w:val="866"/>
    <w:link w:val="860"/>
    <w:pPr>
      <w:widowControl w:val="off"/>
    </w:pPr>
    <w:tblPr/>
  </w:style>
  <w:style w:type="paragraph" w:styleId="867">
    <w:name w:val="Базовый"/>
    <w:next w:val="867"/>
    <w:link w:val="86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68">
    <w:name w:val="Текст"/>
    <w:basedOn w:val="867"/>
    <w:next w:val="868"/>
    <w:link w:val="860"/>
    <w:pPr>
      <w:spacing w:before="100" w:after="100"/>
    </w:pPr>
    <w:rPr>
      <w:sz w:val="24"/>
      <w:szCs w:val="24"/>
    </w:rPr>
  </w:style>
  <w:style w:type="paragraph" w:styleId="869">
    <w:name w:val="ConsPlusNormal"/>
    <w:next w:val="869"/>
    <w:link w:val="893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 w:bidi="ar-SA"/>
    </w:rPr>
  </w:style>
  <w:style w:type="paragraph" w:styleId="870">
    <w:name w:val="Обычный 1"/>
    <w:basedOn w:val="867"/>
    <w:next w:val="870"/>
    <w:link w:val="86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1">
    <w:name w:val="Обычный 1 Многоуровневый нумерованный"/>
    <w:basedOn w:val="867"/>
    <w:next w:val="871"/>
    <w:link w:val="86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2">
    <w:name w:val="Заголовок 2 Знак"/>
    <w:next w:val="872"/>
    <w:link w:val="861"/>
    <w:rPr>
      <w:i/>
      <w:sz w:val="28"/>
    </w:rPr>
  </w:style>
  <w:style w:type="character" w:styleId="873">
    <w:name w:val="Гиперссылка"/>
    <w:next w:val="873"/>
    <w:link w:val="860"/>
    <w:rPr>
      <w:color w:val="0066cc"/>
      <w:u w:val="single"/>
    </w:rPr>
  </w:style>
  <w:style w:type="character" w:styleId="874">
    <w:name w:val="Основной текст_"/>
    <w:next w:val="874"/>
    <w:link w:val="878"/>
    <w:rPr>
      <w:spacing w:val="10"/>
      <w:sz w:val="21"/>
      <w:szCs w:val="21"/>
      <w:shd w:val="clear" w:color="auto" w:fill="ffffff"/>
    </w:rPr>
  </w:style>
  <w:style w:type="character" w:styleId="875">
    <w:name w:val="Основной текст + Полужирный"/>
    <w:next w:val="875"/>
    <w:link w:val="86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76">
    <w:name w:val="Основной текст1"/>
    <w:next w:val="876"/>
    <w:link w:val="86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77">
    <w:name w:val="Основной текст + SimHei;Интервал 0 pt"/>
    <w:next w:val="877"/>
    <w:link w:val="860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78">
    <w:name w:val="Основной текст2"/>
    <w:basedOn w:val="860"/>
    <w:next w:val="878"/>
    <w:link w:val="87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79">
    <w:name w:val="Основной текст (4) Exact"/>
    <w:next w:val="879"/>
    <w:link w:val="880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0">
    <w:name w:val="Основной текст (4)"/>
    <w:basedOn w:val="860"/>
    <w:next w:val="880"/>
    <w:link w:val="87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1">
    <w:name w:val="Верхний колонтитул"/>
    <w:basedOn w:val="860"/>
    <w:next w:val="881"/>
    <w:link w:val="882"/>
    <w:pPr>
      <w:tabs>
        <w:tab w:val="center" w:pos="4677" w:leader="none"/>
        <w:tab w:val="right" w:pos="9355" w:leader="none"/>
      </w:tabs>
    </w:pPr>
  </w:style>
  <w:style w:type="character" w:styleId="882">
    <w:name w:val="Верхний колонтитул Знак"/>
    <w:basedOn w:val="862"/>
    <w:next w:val="882"/>
    <w:link w:val="881"/>
  </w:style>
  <w:style w:type="paragraph" w:styleId="883">
    <w:name w:val="Нижний колонтитул"/>
    <w:basedOn w:val="860"/>
    <w:next w:val="883"/>
    <w:link w:val="884"/>
    <w:pPr>
      <w:tabs>
        <w:tab w:val="center" w:pos="4677" w:leader="none"/>
        <w:tab w:val="right" w:pos="9355" w:leader="none"/>
      </w:tabs>
    </w:pPr>
  </w:style>
  <w:style w:type="character" w:styleId="884">
    <w:name w:val="Нижний колонтитул Знак"/>
    <w:basedOn w:val="862"/>
    <w:next w:val="884"/>
    <w:link w:val="883"/>
  </w:style>
  <w:style w:type="paragraph" w:styleId="885">
    <w:name w:val="Style11"/>
    <w:basedOn w:val="860"/>
    <w:next w:val="885"/>
    <w:link w:val="860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86">
    <w:name w:val="Style12"/>
    <w:basedOn w:val="860"/>
    <w:next w:val="886"/>
    <w:link w:val="860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87">
    <w:name w:val="Font Style21"/>
    <w:next w:val="887"/>
    <w:link w:val="860"/>
    <w:rPr>
      <w:rFonts w:ascii="Times New Roman" w:hAnsi="Times New Roman"/>
      <w:b/>
      <w:bCs/>
      <w:sz w:val="26"/>
      <w:szCs w:val="26"/>
    </w:rPr>
  </w:style>
  <w:style w:type="character" w:styleId="888">
    <w:name w:val="Font Style22"/>
    <w:next w:val="888"/>
    <w:link w:val="860"/>
    <w:rPr>
      <w:rFonts w:ascii="Times New Roman" w:hAnsi="Times New Roman"/>
      <w:sz w:val="26"/>
      <w:szCs w:val="26"/>
    </w:rPr>
  </w:style>
  <w:style w:type="paragraph" w:styleId="889">
    <w:name w:val="Style9"/>
    <w:basedOn w:val="860"/>
    <w:next w:val="889"/>
    <w:link w:val="860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0">
    <w:name w:val="Style10"/>
    <w:basedOn w:val="860"/>
    <w:next w:val="890"/>
    <w:link w:val="860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1">
    <w:name w:val="Font Style20"/>
    <w:next w:val="891"/>
    <w:link w:val="860"/>
    <w:rPr>
      <w:rFonts w:ascii="Times New Roman" w:hAnsi="Times New Roman"/>
      <w:sz w:val="28"/>
      <w:szCs w:val="28"/>
    </w:rPr>
  </w:style>
  <w:style w:type="paragraph" w:styleId="892">
    <w:name w:val="Абзац списка"/>
    <w:basedOn w:val="860"/>
    <w:next w:val="892"/>
    <w:link w:val="860"/>
    <w:pPr>
      <w:contextualSpacing/>
      <w:ind w:left="720"/>
    </w:pPr>
  </w:style>
  <w:style w:type="character" w:styleId="893">
    <w:name w:val="ConsPlusNormal Знак"/>
    <w:next w:val="893"/>
    <w:link w:val="869"/>
    <w:rPr>
      <w:rFonts w:ascii="Arial" w:hAnsi="Arial"/>
      <w:lang w:eastAsia="zh-CN" w:bidi="ar-SA"/>
    </w:rPr>
  </w:style>
  <w:style w:type="character" w:styleId="894">
    <w:name w:val="Основной текст (2)_"/>
    <w:next w:val="894"/>
    <w:link w:val="895"/>
    <w:rPr>
      <w:b/>
      <w:bCs/>
      <w:spacing w:val="-1"/>
      <w:sz w:val="26"/>
      <w:szCs w:val="26"/>
      <w:shd w:val="clear" w:color="auto" w:fill="ffffff"/>
    </w:rPr>
  </w:style>
  <w:style w:type="paragraph" w:styleId="895">
    <w:name w:val="Основной текст (2)"/>
    <w:basedOn w:val="860"/>
    <w:next w:val="895"/>
    <w:link w:val="894"/>
    <w:pPr>
      <w:jc w:val="center"/>
      <w:spacing w:after="120" w:line="322" w:lineRule="exact"/>
      <w:shd w:val="clear" w:color="auto" w:fill="ffffff"/>
    </w:pPr>
    <w:rPr>
      <w:b/>
      <w:bCs/>
      <w:spacing w:val="-1"/>
      <w:sz w:val="26"/>
      <w:szCs w:val="26"/>
      <w:lang w:val="en-US" w:eastAsia="en-US"/>
    </w:rPr>
  </w:style>
  <w:style w:type="paragraph" w:styleId="896">
    <w:name w:val="Основной текст"/>
    <w:basedOn w:val="860"/>
    <w:next w:val="896"/>
    <w:link w:val="897"/>
    <w:pPr>
      <w:widowControl/>
    </w:pPr>
    <w:rPr>
      <w:b/>
      <w:sz w:val="28"/>
      <w:lang w:val="en-US" w:eastAsia="en-US"/>
    </w:rPr>
  </w:style>
  <w:style w:type="character" w:styleId="897">
    <w:name w:val="Основной текст Знак"/>
    <w:next w:val="897"/>
    <w:link w:val="896"/>
    <w:rPr>
      <w:b/>
      <w:sz w:val="28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  <w:style w:type="paragraph" w:styleId="90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://www.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2024-10-28T13:33:12Z</dcterms:modified>
</cp:coreProperties>
</file>