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18"/>
              <w:jc w:val="center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средней рыночной  стоимости 1 кв.м. общей площади жилья по </w:t>
            </w:r>
            <w:r>
              <w:rPr>
                <w:sz w:val="24"/>
                <w:szCs w:val="24"/>
              </w:rPr>
              <w:t xml:space="preserve">Чернянскому</w:t>
            </w:r>
            <w:r>
              <w:rPr>
                <w:sz w:val="24"/>
                <w:szCs w:val="24"/>
              </w:rPr>
              <w:t xml:space="preserve"> району для детей-сирот, </w:t>
            </w:r>
            <w:r>
              <w:rPr>
                <w:bCs/>
                <w:sz w:val="24"/>
                <w:szCs w:val="24"/>
              </w:rPr>
              <w:t xml:space="preserve">детей, оставшихся без попечения родителей</w:t>
            </w:r>
            <w:r>
              <w:rPr>
                <w:sz w:val="24"/>
                <w:szCs w:val="24"/>
              </w:rPr>
              <w:t xml:space="preserve"> и лиц из их числа, семей, имеющих детей-инвалидов, молодых семей на I</w:t>
            </w:r>
            <w:r>
              <w:rPr>
                <w:sz w:val="24"/>
                <w:szCs w:val="24"/>
              </w:rPr>
              <w:t xml:space="preserve"> полугодие 2026 года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r>
              <w:rPr>
                <w:color w:val="244061"/>
                <w:sz w:val="24"/>
                <w:szCs w:val="24"/>
              </w:rPr>
              <w:fldChar w:fldCharType="begin"/>
            </w:r>
            <w:r>
              <w:rPr>
                <w:color w:val="244061"/>
                <w:sz w:val="24"/>
                <w:szCs w:val="24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  <w:sz w:val="24"/>
                <w:szCs w:val="24"/>
              </w:rPr>
              <w:fldChar w:fldCharType="separate"/>
            </w:r>
            <w:r>
              <w:rPr>
                <w:color w:val="244061"/>
                <w:sz w:val="24"/>
                <w:szCs w:val="24"/>
                <w:u w:val="single"/>
              </w:rPr>
              <w:t xml:space="preserve">@</w:t>
            </w:r>
            <w:r>
              <w:rPr>
                <w:color w:val="244061"/>
                <w:sz w:val="24"/>
                <w:szCs w:val="24"/>
                <w:u w:val="single"/>
              </w:rPr>
              <w:t xml:space="preserve">ch.belregion.ru</w:t>
            </w:r>
            <w:r>
              <w:rPr>
                <w:color w:val="244061"/>
                <w:sz w:val="24"/>
                <w:szCs w:val="24"/>
              </w:rPr>
              <w:fldChar w:fldCharType="end"/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21.01</w:t>
            </w:r>
            <w:r>
              <w:rPr>
                <w:sz w:val="24"/>
                <w:szCs w:val="24"/>
              </w:rPr>
              <w:t xml:space="preserve">.2026 года по 03.02.2026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Чернянского муниципального округа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27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</w:t>
            </w:r>
            <w:r>
              <w:rPr>
                <w:color w:val="000000" w:themeColor="text1"/>
                <w:sz w:val="24"/>
                <w:szCs w:val="24"/>
              </w:rPr>
              <w:t xml:space="preserve">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Потапова Светлана Николаевна, юрист МКУ «Управление строительства, транспорта, связи и ЖКХ» тел. 5-53-</w:t>
            </w:r>
            <w:r>
              <w:rPr>
                <w:color w:val="000000" w:themeColor="text1"/>
                <w:sz w:val="24"/>
                <w:szCs w:val="24"/>
              </w:rPr>
              <w:t xml:space="preserve">30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24</cp:revision>
  <dcterms:created xsi:type="dcterms:W3CDTF">2021-09-27T10:24:00Z</dcterms:created>
  <dcterms:modified xsi:type="dcterms:W3CDTF">2026-01-20T06:00:36Z</dcterms:modified>
</cp:coreProperties>
</file>