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6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pStyle w:val="816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/>
    </w:p>
    <w:p>
      <w:pPr>
        <w:pStyle w:val="816"/>
        <w:spacing w:after="0"/>
      </w:pPr>
      <w:r/>
      <w:r/>
    </w:p>
    <w:p>
      <w:pPr>
        <w:pStyle w:val="816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</w:pPr>
            <w:r/>
            <w:r/>
          </w:p>
        </w:tc>
      </w:tr>
    </w:tbl>
    <w:p>
      <w:pPr>
        <w:pStyle w:val="816"/>
        <w:spacing w:after="0"/>
      </w:pPr>
      <w:r/>
      <w:r/>
    </w:p>
    <w:p>
      <w:pPr>
        <w:pStyle w:val="816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after="0" w:line="240" w:lineRule="auto"/>
            </w:pPr>
            <w:r>
              <w:t xml:space="preserve">Постановление администрации муниципального района «Чернянский район» Белгородской обла</w:t>
            </w:r>
            <w:r>
              <w:t xml:space="preserve">ст</w:t>
            </w:r>
            <w:r>
              <w:rPr>
                <w:b w:val="0"/>
                <w:bCs w:val="0"/>
              </w:rPr>
              <w:t xml:space="preserve">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PT Serif" w:cs="Times New Roman"/>
                <w:b w:val="0"/>
                <w:bCs w:val="0"/>
                <w:sz w:val="24"/>
                <w:szCs w:val="24"/>
              </w:rPr>
              <w:t xml:space="preserve">О создании 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252525"/>
                <w:sz w:val="24"/>
                <w:szCs w:val="24"/>
              </w:rPr>
              <w:t xml:space="preserve">сборных эвакуационных пунктов 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252525"/>
                <w:sz w:val="24"/>
                <w:szCs w:val="24"/>
              </w:rPr>
              <w:t xml:space="preserve">на территории</w:t>
            </w:r>
            <w:r>
              <w:rPr>
                <w:rFonts w:ascii="Times New Roman" w:hAnsi="Times New Roman" w:eastAsia="PT Serif" w:cs="Times New Roman"/>
                <w:b w:val="0"/>
                <w:bCs w:val="0"/>
                <w:sz w:val="24"/>
                <w:szCs w:val="24"/>
              </w:rPr>
              <w:t xml:space="preserve"> Чернянск</w:t>
            </w:r>
            <w:r>
              <w:rPr>
                <w:rFonts w:ascii="Times New Roman" w:hAnsi="Times New Roman" w:eastAsia="PT Serif" w:cs="Times New Roman"/>
                <w:b w:val="0"/>
                <w:bCs w:val="0"/>
                <w:sz w:val="24"/>
                <w:szCs w:val="24"/>
              </w:rPr>
              <w:t xml:space="preserve">ого района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/>
            <w:r>
              <w:rPr>
                <w14:ligatures w14:val="none"/>
              </w:rPr>
            </w:r>
            <w:r/>
            <w:r/>
            <w:r/>
            <w:r>
              <w:rPr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</w:pPr>
            <w:r/>
            <w:r/>
          </w:p>
          <w:p>
            <w:pPr>
              <w:pStyle w:val="816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6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gochs@ch.belregion.ru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16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23 августа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года по 5 сентября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/>
            <w:r>
              <w:rPr>
                <w:highlight w:val="white"/>
              </w:rPr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6"/>
    <w:next w:val="816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6"/>
    <w:next w:val="816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6"/>
    <w:next w:val="816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6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next w:val="816"/>
    <w:link w:val="816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17">
    <w:name w:val="Основной шрифт абзаца"/>
    <w:next w:val="817"/>
    <w:link w:val="816"/>
  </w:style>
  <w:style w:type="table" w:styleId="818">
    <w:name w:val="Обычная таблица"/>
    <w:next w:val="818"/>
    <w:link w:val="816"/>
    <w:semiHidden/>
    <w:tblPr/>
  </w:style>
  <w:style w:type="numbering" w:styleId="819">
    <w:name w:val="Нет списка"/>
    <w:next w:val="819"/>
    <w:link w:val="816"/>
    <w:semiHidden/>
  </w:style>
  <w:style w:type="paragraph" w:styleId="820">
    <w:name w:val="Стиль1"/>
    <w:basedOn w:val="816"/>
    <w:next w:val="820"/>
    <w:link w:val="822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21">
    <w:name w:val="Без интервала"/>
    <w:next w:val="821"/>
    <w:link w:val="816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22">
    <w:name w:val="Стиль1 Знак"/>
    <w:next w:val="822"/>
    <w:link w:val="820"/>
    <w:rPr>
      <w:rFonts w:ascii="Times New Roman" w:hAnsi="Times New Roman"/>
      <w:sz w:val="24"/>
      <w:szCs w:val="24"/>
    </w:rPr>
  </w:style>
  <w:style w:type="character" w:styleId="823" w:default="1">
    <w:name w:val="Default Paragraph Font"/>
    <w:uiPriority w:val="1"/>
    <w:semiHidden/>
    <w:unhideWhenUsed/>
  </w:style>
  <w:style w:type="numbering" w:styleId="824" w:default="1">
    <w:name w:val="No List"/>
    <w:uiPriority w:val="99"/>
    <w:semiHidden/>
    <w:unhideWhenUsed/>
  </w:style>
  <w:style w:type="table" w:styleId="825" w:default="1">
    <w:name w:val="Normal Table"/>
    <w:uiPriority w:val="99"/>
    <w:semiHidden/>
    <w:unhideWhenUsed/>
    <w:tblPr/>
  </w:style>
  <w:style w:type="paragraph" w:styleId="826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2024-08-23T13:15:35Z</dcterms:modified>
</cp:coreProperties>
</file>