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БЕЛГОРОДСКАЯ ОБЛАСТЬ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3027680</wp:posOffset>
                </wp:positionH>
                <wp:positionV relativeFrom="margin">
                  <wp:posOffset>591185</wp:posOffset>
                </wp:positionV>
                <wp:extent cx="476885" cy="612775"/>
                <wp:effectExtent l="0" t="0" r="0" b="0"/>
                <wp:wrapTopAndBottom/>
                <wp:docPr id="1" name="Рисунок 2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margin;margin-left:238.4pt;mso-position-horizontal:absolute;mso-position-vertical-relative:margin;margin-top:46.5pt;mso-position-vertical:absolute;width:37.5pt;height:48.2pt;mso-wrap-distance-left:9.0pt;mso-wrap-distance-top:0.0pt;mso-wrap-distance-right:9.0pt;mso-wrap-distance-bottom:0.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"ЧЕРНЯНСКИЙ РАЙОН"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 _____________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г.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_____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/>
    </w:p>
    <w:tbl>
      <w:tblPr>
        <w:tblStyle w:val="898"/>
        <w:tblW w:w="0" w:type="auto"/>
        <w:tblInd w:w="-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563"/>
      </w:tblGrid>
      <w:tr>
        <w:trPr>
          <w:trHeight w:val="1693"/>
        </w:trPr>
        <w:tc>
          <w:tcPr>
            <w:tcW w:w="9563" w:type="dxa"/>
            <w:textDirection w:val="lrTb"/>
            <w:noWrap w:val="false"/>
          </w:tcPr>
          <w:p>
            <w:pPr>
              <w:pStyle w:val="911"/>
              <w:ind w:left="425" w:right="0" w:firstLine="0"/>
              <w:jc w:val="center"/>
              <w:tabs>
                <w:tab w:val="left" w:pos="4394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организации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Уличной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оциальной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/>
          </w:p>
          <w:p>
            <w:pPr>
              <w:pStyle w:val="911"/>
              <w:ind w:left="425" w:right="0" w:firstLine="0"/>
              <w:jc w:val="center"/>
              <w:tabs>
                <w:tab w:val="left" w:pos="4394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службы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территории Чернянского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/>
          </w:p>
          <w:p>
            <w:pPr>
              <w:pStyle w:val="911"/>
              <w:ind w:left="425" w:right="0" w:firstLine="0"/>
              <w:jc w:val="center"/>
              <w:tabs>
                <w:tab w:val="left" w:pos="4394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14:ligatures w14:val="none"/>
              </w:rPr>
            </w:r>
            <w:r/>
          </w:p>
        </w:tc>
      </w:tr>
    </w:tbl>
    <w:p>
      <w:pPr>
        <w:pStyle w:val="916"/>
        <w:ind w:right="20" w:firstLine="0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both"/>
        <w:spacing w:line="276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соответствии с Федеральным законом от 24 июня 1999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№ 120-ФЗ «Об основах системы профилактики безнадзорности и правонарушений несовершеннолетних» и изменениями к нему, 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целью профилактики безнадзорности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беспризорности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правонарушений среди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, в целях качественной работы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муниципального района «Черн</w:t>
      </w:r>
      <w:r>
        <w:rPr>
          <w:rFonts w:ascii="Times New Roman" w:hAnsi="Times New Roman" w:cs="Times New Roman"/>
          <w:sz w:val="28"/>
          <w:szCs w:val="28"/>
        </w:rPr>
        <w:t xml:space="preserve">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</w:t>
      </w:r>
      <w:r>
        <w:rPr>
          <w:rFonts w:ascii="Times New Roman" w:hAnsi="Times New Roman" w:cs="Times New Roman"/>
          <w:b/>
          <w:sz w:val="28"/>
          <w:szCs w:val="28"/>
        </w:rPr>
        <w:t xml:space="preserve">т: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Утвердить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Положение об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организации Уличной социальной службы на территории Чернянского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района (прил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агается)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/>
    </w:p>
    <w:p>
      <w:pPr>
        <w:jc w:val="both"/>
        <w:spacing w:after="0" w:line="276" w:lineRule="auto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 Определить ответственными исполнителями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реализации  направлений деятельности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Уличной социальной службы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комиссию по делам несовершеннолетних и защите их прав при администрации Чернянского района,  МКУ «Управление образования» Чернянского района, УСЗН  администрации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Чернянского района,  МКУ «Управление культуры» Чернянского района,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МКУ «У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правление физической культуры, спорта и молодежной политики Чернянского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ОГБУЗ «Чернянская ЦРБ им. П.В.Гапотченко» (по согласованию)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ОМВД России по Чернянскому району (по согласовании), </w:t>
      </w:r>
      <w:r>
        <w:rPr>
          <w:rFonts w:ascii="Times New Roman" w:hAnsi="Times New Roman" w:cs="Times New Roman"/>
          <w:sz w:val="28"/>
          <w:szCs w:val="28"/>
        </w:rPr>
        <w:t xml:space="preserve">МКУ «Управление по делам ГО и ЧС муниципального района «Чернянский район» (Марынчук Э.В.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pStyle w:val="916"/>
        <w:ind w:firstLine="0"/>
        <w:jc w:val="both"/>
        <w:spacing w:before="0" w:after="0" w:line="240" w:lineRule="auto"/>
        <w:shd w:val="clear" w:color="auto" w:fill="auto"/>
        <w:tabs>
          <w:tab w:val="left" w:pos="851" w:leader="none"/>
          <w:tab w:val="left" w:pos="1224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16"/>
        <w:ind w:firstLine="0"/>
        <w:jc w:val="both"/>
        <w:spacing w:before="0" w:after="0" w:line="240" w:lineRule="auto"/>
        <w:shd w:val="clear" w:color="auto" w:fill="auto"/>
        <w:tabs>
          <w:tab w:val="left" w:pos="851" w:leader="none"/>
          <w:tab w:val="left" w:pos="1224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ления возложить на  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Чернянского района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Рыка Т.</w:t>
      </w:r>
      <w:r>
        <w:rPr>
          <w:rFonts w:ascii="Times New Roman" w:hAnsi="Times New Roman" w:cs="Times New Roman"/>
          <w:sz w:val="28"/>
          <w:szCs w:val="28"/>
        </w:rPr>
        <w:t xml:space="preserve">И.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851" w:leader="none"/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заместитель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Чернянского района</w:t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программ в строительстве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градостроительной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Морозов С.А.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contextualSpacing/>
        <w:ind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/>
    </w:p>
    <w:p>
      <w:pPr>
        <w:pStyle w:val="914"/>
        <w:rPr>
          <w:rFonts w:ascii="Times New Roman" w:hAnsi="Times New Roman"/>
          <w:sz w:val="24"/>
          <w:szCs w:val="24"/>
          <w:highlight w:val="none"/>
          <w:u w:val="single"/>
        </w:rPr>
      </w:pPr>
      <w:r/>
      <w:r>
        <w:rPr>
          <w:rFonts w:ascii="Times New Roman" w:hAnsi="Times New Roman"/>
          <w:sz w:val="24"/>
          <w:szCs w:val="24"/>
          <w:highlight w:val="none"/>
          <w:u w:val="none"/>
        </w:rPr>
      </w:r>
      <w:r/>
      <w:r>
        <w:rPr>
          <w:rFonts w:ascii="Times New Roman" w:hAnsi="Times New Roman"/>
          <w:sz w:val="24"/>
          <w:szCs w:val="24"/>
          <w:highlight w:val="none"/>
          <w:u w:val="single"/>
        </w:rPr>
      </w:r>
    </w:p>
    <w:p>
      <w:pPr>
        <w:pStyle w:val="914"/>
        <w:jc w:val="lef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tbl>
      <w:tblPr>
        <w:tblStyle w:val="898"/>
        <w:tblW w:w="0" w:type="auto"/>
        <w:tblInd w:w="450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068"/>
      </w:tblGrid>
      <w:tr>
        <w:trPr/>
        <w:tc>
          <w:tcPr>
            <w:tcW w:w="5068" w:type="dxa"/>
            <w:textDirection w:val="lrTb"/>
            <w:noWrap w:val="false"/>
          </w:tcPr>
          <w:p>
            <w:pPr>
              <w:jc w:val="center"/>
              <w:spacing w:before="100" w:beforeAutospacing="1" w:after="100" w:afterAutospacing="1"/>
              <w:tabs>
                <w:tab w:val="left" w:pos="6885" w:leader="none"/>
              </w:tabs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УТВЕРЖДЕНО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spacing w:line="240" w:lineRule="atLeast"/>
              <w:tabs>
                <w:tab w:val="left" w:pos="6885" w:leader="none"/>
              </w:tabs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остановлением администрации Чернянского  района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spacing w:before="100" w:beforeAutospacing="1" w:after="100" w:afterAutospacing="1"/>
              <w:tabs>
                <w:tab w:val="left" w:pos="6885" w:leader="none"/>
              </w:tabs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от «___»________________2025 года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spacing w:before="100" w:beforeAutospacing="1" w:after="100" w:afterAutospacing="1"/>
              <w:tabs>
                <w:tab w:val="left" w:pos="6885" w:leader="none"/>
              </w:tabs>
              <w:rPr>
                <w:rFonts w:ascii="Times New Roman" w:hAnsi="Times New Roman" w:eastAsia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</w:rPr>
              <w:t xml:space="preserve">№______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/>
          </w:p>
        </w:tc>
      </w:tr>
    </w:tbl>
    <w:p>
      <w:pPr>
        <w:spacing w:before="100" w:beforeAutospacing="1" w:after="100" w:afterAutospacing="1" w:line="240" w:lineRule="auto"/>
        <w:tabs>
          <w:tab w:val="left" w:pos="6885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center"/>
        <w:spacing w:before="100" w:beforeAutospacing="1" w:after="100" w:afterAutospacing="1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Положение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br/>
        <w:t xml:space="preserve">об организации Уличной социальной службы на территории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Белгородской области</w:t>
      </w:r>
      <w:r/>
    </w:p>
    <w:p>
      <w:pPr>
        <w:spacing w:before="100" w:beforeAutospacing="1" w:after="100" w:afterAutospacing="1" w:line="240" w:lineRule="auto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center"/>
        <w:spacing w:before="100" w:beforeAutospacing="1" w:after="100" w:afterAutospacing="1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1.1. Уличная социальная служба на территории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Чернянского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(далее - Служба) организуется для проведения мониторинга локаций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территорий риска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 целью профилактики безнадзорности и правонарушений среди несовершеннолетних.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1.2. Основные задачи Службы: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а) раннее выявление несовершеннолетних, находящихся в трудной жизненной ситуации и склонных к совершению правонарушений и употреблению психоактивных веществ (далее - ПАВ);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б) организация и проведение профилактических мероприятий, индивидуальной и групповой работы с несовершеннолетними, основные ценности которых связаны с уличным время провождением;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в) осуществление межведомственного взаимодействия с субъектами системы профилактики безнадзорности и правонарушений несовершеннолетних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1.3. Функции Службы: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а) осуществление мониторинга локаций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территорий риска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Чернянского 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Белгородской области с целью выявления несовершеннолетних, склонных к совершению правонарушений посредством проведения мобильных и пеших рейдов;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б) выявление несовершеннолетних, совместно с представителями субъектов системы профилактики безнадзорности и правонарушений несовершеннолетних во время выездов, массовых мероприятий, а также в ходе контактов с несовершеннолетними в условиях уличной среды;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в) проведение первичной и вторичной профилактики правонарушений и асоциального поведения несовершеннолетних в пределах компетенции;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г) осуществление информационного взаимодействия с субъектами профилактики безнадзорности и правонарушений несовершеннолетних в пределах компетенции;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д) участие в подготовке и проведении деловых мероприятий различных форматов в рамках компетенции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tLeast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2. Организация Уличной социальной службы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Рейдовые мероприятия осуществляются в соответствии с  графиком с указанием участников рейдов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который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утверждается главой администрации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2.2. В состав Службы входят специалисты следующих органов и ведомств: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управление социальной защиты населения администрации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управление образованием администрации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управление культуры администрации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МКУ «У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правление физкультуры и спорта администрации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Чернянского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комиссия по делам несовершеннолетних и защите их прав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 администрации района;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органы здравоохранения;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правоохранительные органы.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 Порядок работы Службы: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сбор информации (получение информации в ходе работы с несовершеннолетними лицами, от граждан, из интернет-источников (других средств массовой информации):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информация, касающаяся личности несовершеннолетних (Ф.И.О., год рождения, образовательное учреждение, адрес проживания, семейное положение), в случае выявления с их стороны асоциальных форм поведения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информация  со слов самих несовершеннолетних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информация, касающаяся обстановки в районе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проживания несовершеннолетних, связанная с местами концентрации, заброшенными объектами, фактами совершения теми или иными несовершеннолетними противоправных действий, фактами совершения противоправных действий в отношении тех или иных несовершеннолетних;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анализ полученной информации: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выявление взаимосвязи между различными феноменами уличного пространства;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выделение причин и условий, потенциально негативно влияющих на формирование у несовершеннолетних и молодежи асоциальных моделей поведения;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3) обработка и хранение информации, выработка рекомендаций: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отображение полученной в ходе рейда информации в унифицированной форме посредством заполнения отчетной документации;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занесение информации о выявлении объектов категории риска, мест концентрации в базу данных, социальное картирование (нанесение объектов на интерактивную ситуационную карту);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выработка рекомендаций, исходя из результатов анализа полученной информации;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4) информирование представителей системы профилактики посредством подготовки и отправки информационных писем (справок), а также другими возможными способами;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5) проведение профилактических бесед с несовершеннолетними в уличной среде с выходом в адрес проживания, в образовательное учреждение;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6) оказание помощи по принципу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здесь и сейчас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содействие в помещении несовершеннолетних в учреждения здравоохранения, социальной защиты;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своевременное привлечение работников других оперативных служб для быстрого решения возникшей в ходе рейда проблемы.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 результатам рейдовых мероприятий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омиссия по делам несовершеннолетних и защите их прав при администрации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совместно с субъектами районной системы профилактики, входящих в состав Службы,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разрабатывает индивидуальную карту, план мероприятий по различным направлениям на каждого ребенка отдельно.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  <w:t xml:space="preserve">2.5.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Отчет о проделанной работе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 каждым ребенком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оставляется в комиссию по делам несовершеннолетних и защите их прав при администрации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субъектами районной системы профилактики, входящими в Состав службы,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ежеквартально, в срок до 1 числа месяца следующего за отчетным кварталом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after="0" w:line="240" w:lineRule="atLeast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spacing w:before="100" w:beforeAutospacing="1" w:after="100" w:afterAutospacing="1" w:line="240" w:lineRule="auto"/>
        <w:tabs>
          <w:tab w:val="left" w:pos="6885" w:leader="none"/>
        </w:tabs>
        <w:rPr>
          <w:rFonts w:ascii="Times New Roman" w:hAnsi="Times New Roman" w:eastAsia="Times New Roman" w:cs="Times New Roman"/>
          <w:b/>
          <w:bCs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</w:t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</w:t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</w:t>
      </w:r>
      <w:r/>
    </w:p>
    <w:sectPr>
      <w:headerReference w:type="default" r:id="rId9"/>
      <w:footnotePr/>
      <w:endnotePr/>
      <w:type w:val="nextPage"/>
      <w:pgSz w:w="11906" w:h="16838" w:orient="portrait"/>
      <w:pgMar w:top="1" w:right="708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Droid Sans Fallback">
    <w:panose1 w:val="02000603000000000000"/>
  </w:font>
  <w:font w:name="Source Han Sans CN Regular">
    <w:panose1 w:val="02000603000000000000"/>
  </w:font>
  <w:font w:name="Courier New">
    <w:panose1 w:val="02070309020205020404"/>
  </w:font>
  <w:font w:name="Lohit Devanagari">
    <w:panose1 w:val="02000603000000000000"/>
  </w:font>
  <w:font w:name="Tahoma">
    <w:panose1 w:val="020B0604030504040204"/>
  </w:font>
  <w:font w:name="Consolas">
    <w:panose1 w:val="020B0606020202030204"/>
  </w:font>
  <w:font w:name="Segoe UI">
    <w:panose1 w:val="020B0502040504020204"/>
  </w:font>
  <w:font w:name="Noto Sans Devanagari">
    <w:panose1 w:val="020B050204050402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jc w:val="center"/>
    </w:pPr>
    <w:r/>
    <w:r/>
  </w:p>
  <w:p>
    <w:pPr>
      <w:pStyle w:val="9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-"/>
      <w:lvlJc w:val="left"/>
      <w:pPr>
        <w:ind w:left="615" w:hanging="615"/>
      </w:pPr>
      <w:rPr>
        <w:rFonts w:hint="default"/>
      </w:rPr>
    </w:lvl>
    <w:lvl w:ilvl="1">
      <w:start w:val="21"/>
      <w:numFmt w:val="decimal"/>
      <w:isLgl w:val="false"/>
      <w:suff w:val="tab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8"/>
  </w:num>
  <w:num w:numId="3">
    <w:abstractNumId w:val="14"/>
  </w:num>
  <w:num w:numId="4">
    <w:abstractNumId w:val="26"/>
  </w:num>
  <w:num w:numId="5">
    <w:abstractNumId w:val="15"/>
  </w:num>
  <w:num w:numId="6">
    <w:abstractNumId w:val="2"/>
  </w:num>
  <w:num w:numId="7">
    <w:abstractNumId w:val="24"/>
  </w:num>
  <w:num w:numId="8">
    <w:abstractNumId w:val="22"/>
  </w:num>
  <w:num w:numId="9">
    <w:abstractNumId w:val="19"/>
  </w:num>
  <w:num w:numId="10">
    <w:abstractNumId w:val="4"/>
  </w:num>
  <w:num w:numId="11">
    <w:abstractNumId w:val="21"/>
  </w:num>
  <w:num w:numId="12">
    <w:abstractNumId w:val="25"/>
  </w:num>
  <w:num w:numId="13">
    <w:abstractNumId w:val="0"/>
  </w:num>
  <w:num w:numId="14">
    <w:abstractNumId w:val="16"/>
  </w:num>
  <w:num w:numId="15">
    <w:abstractNumId w:val="6"/>
  </w:num>
  <w:num w:numId="16">
    <w:abstractNumId w:val="9"/>
  </w:num>
  <w:num w:numId="17">
    <w:abstractNumId w:val="7"/>
  </w:num>
  <w:num w:numId="18">
    <w:abstractNumId w:val="8"/>
  </w:num>
  <w:num w:numId="19">
    <w:abstractNumId w:val="5"/>
  </w:num>
  <w:num w:numId="20">
    <w:abstractNumId w:val="13"/>
  </w:num>
  <w:num w:numId="21">
    <w:abstractNumId w:val="23"/>
  </w:num>
  <w:num w:numId="22">
    <w:abstractNumId w:val="11"/>
  </w:num>
  <w:num w:numId="23">
    <w:abstractNumId w:val="1"/>
  </w:num>
  <w:num w:numId="24">
    <w:abstractNumId w:val="3"/>
  </w:num>
  <w:num w:numId="25">
    <w:abstractNumId w:val="20"/>
  </w:num>
  <w:num w:numId="26">
    <w:abstractNumId w:val="17"/>
  </w:num>
  <w:num w:numId="27">
    <w:abstractNumId w:val="12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4"/>
    <w:link w:val="883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2"/>
    <w:next w:val="882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84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2"/>
    <w:next w:val="882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84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2"/>
    <w:next w:val="882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4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2"/>
    <w:next w:val="882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4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2"/>
    <w:next w:val="882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4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2"/>
    <w:next w:val="882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4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2"/>
    <w:next w:val="882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4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2"/>
    <w:next w:val="882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4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29">
    <w:name w:val="Title Char"/>
    <w:basedOn w:val="884"/>
    <w:link w:val="903"/>
    <w:uiPriority w:val="10"/>
    <w:rPr>
      <w:sz w:val="48"/>
      <w:szCs w:val="48"/>
    </w:rPr>
  </w:style>
  <w:style w:type="paragraph" w:styleId="730">
    <w:name w:val="Subtitle"/>
    <w:basedOn w:val="882"/>
    <w:next w:val="882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basedOn w:val="884"/>
    <w:link w:val="730"/>
    <w:uiPriority w:val="11"/>
    <w:rPr>
      <w:sz w:val="24"/>
      <w:szCs w:val="24"/>
    </w:rPr>
  </w:style>
  <w:style w:type="paragraph" w:styleId="732">
    <w:name w:val="Quote"/>
    <w:basedOn w:val="882"/>
    <w:next w:val="882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2"/>
    <w:next w:val="882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4"/>
    <w:link w:val="907"/>
    <w:uiPriority w:val="99"/>
  </w:style>
  <w:style w:type="character" w:styleId="737">
    <w:name w:val="Footer Char"/>
    <w:basedOn w:val="884"/>
    <w:link w:val="909"/>
    <w:uiPriority w:val="99"/>
  </w:style>
  <w:style w:type="character" w:styleId="738">
    <w:name w:val="Caption Char"/>
    <w:basedOn w:val="911"/>
    <w:link w:val="909"/>
    <w:uiPriority w:val="99"/>
  </w:style>
  <w:style w:type="table" w:styleId="739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4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4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883">
    <w:name w:val="Heading 1"/>
    <w:basedOn w:val="882"/>
    <w:next w:val="882"/>
    <w:link w:val="899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84" w:default="1">
    <w:name w:val="Default Paragraph Font"/>
    <w:uiPriority w:val="1"/>
    <w:unhideWhenUsed/>
  </w:style>
  <w:style w:type="table" w:styleId="8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paragraph" w:styleId="887" w:customStyle="1">
    <w:name w:val="ConsPlusTitle"/>
    <w:uiPriority w:val="99"/>
    <w:pPr>
      <w:widowControl w:val="off"/>
    </w:pPr>
    <w:rPr>
      <w:rFonts w:eastAsia="Times New Roman" w:cs="Calibri"/>
      <w:b/>
      <w:bCs/>
      <w:sz w:val="22"/>
      <w:szCs w:val="22"/>
    </w:rPr>
  </w:style>
  <w:style w:type="paragraph" w:styleId="888" w:customStyle="1">
    <w:name w:val="Style1"/>
    <w:basedOn w:val="882"/>
    <w:uiPriority w:val="99"/>
    <w:pPr>
      <w:jc w:val="center"/>
      <w:spacing w:after="0" w:line="413" w:lineRule="exact"/>
      <w:widowControl w:val="off"/>
    </w:pPr>
    <w:rPr>
      <w:rFonts w:ascii="Segoe UI" w:hAnsi="Segoe UI" w:cs="Segoe UI"/>
      <w:sz w:val="24"/>
      <w:szCs w:val="24"/>
    </w:rPr>
  </w:style>
  <w:style w:type="paragraph" w:styleId="889" w:customStyle="1">
    <w:name w:val="Style2"/>
    <w:basedOn w:val="882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90" w:customStyle="1">
    <w:name w:val="Style3"/>
    <w:basedOn w:val="882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91" w:customStyle="1">
    <w:name w:val="Style4"/>
    <w:basedOn w:val="882"/>
    <w:uiPriority w:val="99"/>
    <w:pPr>
      <w:spacing w:after="0" w:line="248" w:lineRule="exact"/>
      <w:widowControl w:val="off"/>
    </w:pPr>
    <w:rPr>
      <w:rFonts w:ascii="Segoe UI" w:hAnsi="Segoe UI" w:cs="Segoe UI"/>
      <w:sz w:val="24"/>
      <w:szCs w:val="24"/>
    </w:rPr>
  </w:style>
  <w:style w:type="character" w:styleId="892" w:customStyle="1">
    <w:name w:val="Font Style15"/>
    <w:uiPriority w:val="99"/>
    <w:rPr>
      <w:rFonts w:ascii="Segoe UI" w:hAnsi="Segoe UI" w:cs="Segoe UI"/>
      <w:spacing w:val="110"/>
      <w:sz w:val="26"/>
      <w:szCs w:val="26"/>
    </w:rPr>
  </w:style>
  <w:style w:type="character" w:styleId="893" w:customStyle="1">
    <w:name w:val="Font Style17"/>
    <w:uiPriority w:val="99"/>
    <w:rPr>
      <w:rFonts w:ascii="Times New Roman" w:hAnsi="Times New Roman" w:cs="Times New Roman"/>
      <w:sz w:val="16"/>
      <w:szCs w:val="16"/>
    </w:rPr>
  </w:style>
  <w:style w:type="character" w:styleId="894" w:customStyle="1">
    <w:name w:val="Font Style18"/>
    <w:uiPriority w:val="99"/>
    <w:rPr>
      <w:rFonts w:ascii="Consolas" w:hAnsi="Consolas" w:cs="Consolas"/>
      <w:b/>
      <w:bCs/>
      <w:smallCaps/>
      <w:sz w:val="18"/>
      <w:szCs w:val="18"/>
    </w:rPr>
  </w:style>
  <w:style w:type="character" w:styleId="895" w:customStyle="1">
    <w:name w:val="Font Style19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896" w:customStyle="1">
    <w:name w:val="Font Style2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897">
    <w:name w:val="List Paragraph"/>
    <w:basedOn w:val="882"/>
    <w:uiPriority w:val="34"/>
    <w:qFormat/>
    <w:pPr>
      <w:contextualSpacing/>
      <w:ind w:left="720"/>
    </w:pPr>
  </w:style>
  <w:style w:type="table" w:styleId="898">
    <w:name w:val="Table Grid"/>
    <w:basedOn w:val="885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99" w:customStyle="1">
    <w:name w:val="Заголовок 1 Знак"/>
    <w:link w:val="883"/>
    <w:uiPriority w:val="9"/>
    <w:rPr>
      <w:rFonts w:ascii="Cambria" w:hAnsi="Cambria" w:eastAsia="Times New Roman" w:cs="Times New Roman"/>
      <w:b/>
      <w:bCs/>
      <w:sz w:val="32"/>
      <w:szCs w:val="32"/>
    </w:rPr>
  </w:style>
  <w:style w:type="paragraph" w:styleId="900">
    <w:name w:val="Balloon Text"/>
    <w:basedOn w:val="882"/>
    <w:link w:val="901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901" w:customStyle="1">
    <w:name w:val="Текст выноски Знак"/>
    <w:link w:val="900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02" w:customStyle="1">
    <w:name w:val="apple-style-span"/>
  </w:style>
  <w:style w:type="paragraph" w:styleId="903">
    <w:name w:val="Title"/>
    <w:basedOn w:val="882"/>
    <w:link w:val="904"/>
    <w:qFormat/>
    <w:pPr>
      <w:jc w:val="center"/>
      <w:spacing w:after="0" w:line="360" w:lineRule="auto"/>
    </w:pPr>
    <w:rPr>
      <w:rFonts w:ascii="Times New Roman" w:hAnsi="Times New Roman"/>
      <w:sz w:val="28"/>
      <w:szCs w:val="20"/>
    </w:rPr>
  </w:style>
  <w:style w:type="character" w:styleId="904" w:customStyle="1">
    <w:name w:val="Название Знак"/>
    <w:link w:val="903"/>
    <w:rPr>
      <w:rFonts w:ascii="Times New Roman" w:hAnsi="Times New Roman" w:eastAsia="Times New Roman"/>
      <w:sz w:val="28"/>
    </w:rPr>
  </w:style>
  <w:style w:type="paragraph" w:styleId="905" w:customStyle="1">
    <w:name w:val="Style13"/>
    <w:basedOn w:val="882"/>
    <w:uiPriority w:val="99"/>
    <w:pPr>
      <w:ind w:firstLine="1018"/>
      <w:spacing w:after="0" w:line="336" w:lineRule="exact"/>
      <w:widowControl w:val="off"/>
    </w:pPr>
    <w:rPr>
      <w:sz w:val="24"/>
      <w:szCs w:val="24"/>
    </w:rPr>
  </w:style>
  <w:style w:type="character" w:styleId="906" w:customStyle="1">
    <w:name w:val="Font Style24"/>
    <w:uiPriority w:val="99"/>
    <w:rPr>
      <w:rFonts w:hint="default" w:ascii="Times New Roman" w:hAnsi="Times New Roman" w:cs="Times New Roman"/>
      <w:b/>
      <w:bCs/>
      <w:sz w:val="24"/>
      <w:szCs w:val="24"/>
    </w:rPr>
  </w:style>
  <w:style w:type="paragraph" w:styleId="907">
    <w:name w:val="Header"/>
    <w:basedOn w:val="882"/>
    <w:link w:val="9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8" w:customStyle="1">
    <w:name w:val="Верхний колонтитул Знак"/>
    <w:basedOn w:val="884"/>
    <w:link w:val="907"/>
    <w:uiPriority w:val="99"/>
    <w:rPr>
      <w:rFonts w:eastAsia="Times New Roman"/>
      <w:sz w:val="22"/>
      <w:szCs w:val="22"/>
    </w:rPr>
  </w:style>
  <w:style w:type="paragraph" w:styleId="909">
    <w:name w:val="Footer"/>
    <w:basedOn w:val="882"/>
    <w:link w:val="9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Нижний колонтитул Знак"/>
    <w:basedOn w:val="884"/>
    <w:link w:val="909"/>
    <w:uiPriority w:val="99"/>
    <w:rPr>
      <w:rFonts w:eastAsia="Times New Roman"/>
      <w:sz w:val="22"/>
      <w:szCs w:val="22"/>
    </w:rPr>
  </w:style>
  <w:style w:type="paragraph" w:styleId="911">
    <w:name w:val="Caption"/>
    <w:basedOn w:val="882"/>
    <w:next w:val="882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12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/>
      <w:lang w:eastAsia="zh-CN"/>
    </w:rPr>
  </w:style>
  <w:style w:type="paragraph" w:styleId="913" w:customStyle="1">
    <w:name w:val="ConsPlusNormal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eastAsia="zh-CN"/>
    </w:rPr>
  </w:style>
  <w:style w:type="paragraph" w:styleId="914">
    <w:name w:val="No Spacing"/>
    <w:uiPriority w:val="1"/>
    <w:qFormat/>
    <w:rPr>
      <w:rFonts w:eastAsia="Times New Roman"/>
      <w:sz w:val="22"/>
      <w:szCs w:val="22"/>
    </w:rPr>
  </w:style>
  <w:style w:type="character" w:styleId="915" w:customStyle="1">
    <w:name w:val="Основной текст_"/>
    <w:basedOn w:val="884"/>
    <w:link w:val="916"/>
    <w:rPr>
      <w:rFonts w:ascii="Times New Roman" w:hAnsi="Times New Roman" w:eastAsia="Times New Roman"/>
      <w:spacing w:val="9"/>
      <w:sz w:val="25"/>
      <w:szCs w:val="25"/>
      <w:shd w:val="clear" w:color="auto" w:fill="ffffff"/>
    </w:rPr>
  </w:style>
  <w:style w:type="paragraph" w:styleId="916" w:customStyle="1">
    <w:name w:val="Основной текст1"/>
    <w:basedOn w:val="882"/>
    <w:link w:val="915"/>
    <w:pPr>
      <w:spacing w:before="360" w:after="300" w:line="322" w:lineRule="exact"/>
      <w:shd w:val="clear" w:color="auto" w:fill="ffffff"/>
      <w:widowControl w:val="off"/>
    </w:pPr>
    <w:rPr>
      <w:rFonts w:ascii="Times New Roman" w:hAnsi="Times New Roman"/>
      <w:spacing w:val="9"/>
      <w:sz w:val="25"/>
      <w:szCs w:val="25"/>
    </w:rPr>
  </w:style>
  <w:style w:type="character" w:styleId="917" w:customStyle="1">
    <w:name w:val="Основной текст (2)_"/>
    <w:basedOn w:val="884"/>
    <w:link w:val="918"/>
    <w:rPr>
      <w:rFonts w:ascii="Times New Roman" w:hAnsi="Times New Roman" w:eastAsia="Times New Roman"/>
      <w:b/>
      <w:bCs/>
      <w:spacing w:val="12"/>
      <w:sz w:val="23"/>
      <w:szCs w:val="23"/>
      <w:shd w:val="clear" w:color="auto" w:fill="ffffff"/>
    </w:rPr>
  </w:style>
  <w:style w:type="paragraph" w:styleId="918" w:customStyle="1">
    <w:name w:val="Основной текст (2)"/>
    <w:basedOn w:val="882"/>
    <w:link w:val="917"/>
    <w:pPr>
      <w:jc w:val="both"/>
      <w:spacing w:before="720" w:after="0" w:line="317" w:lineRule="exact"/>
      <w:shd w:val="clear" w:color="auto" w:fill="ffffff"/>
      <w:widowControl w:val="off"/>
    </w:pPr>
    <w:rPr>
      <w:rFonts w:ascii="Times New Roman" w:hAnsi="Times New Roman"/>
      <w:b/>
      <w:bCs/>
      <w:spacing w:val="12"/>
      <w:sz w:val="23"/>
      <w:szCs w:val="23"/>
    </w:rPr>
  </w:style>
  <w:style w:type="paragraph" w:styleId="919" w:customStyle="1">
    <w:name w:val="Standard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Source Han Sans CN Regular" w:cs="Lohit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20" w:customStyle="1">
    <w:name w:val="text3cl"/>
    <w:basedOn w:val="836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1" w:after="200" w:afterAutospacing="1" w:line="276" w:lineRule="auto"/>
      <w:shd w:val="nil" w:color="000000"/>
      <w:widowControl/>
      <w:tabs>
        <w:tab w:val="clear" w:pos="708" w:leader="none"/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Droid Sans Fallback" w:cs="Noto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326-C24C-4FBA-B23D-65F3D935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adm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revision>51</cp:revision>
  <dcterms:created xsi:type="dcterms:W3CDTF">2020-11-23T08:44:00Z</dcterms:created>
  <dcterms:modified xsi:type="dcterms:W3CDTF">2025-04-10T12:17:33Z</dcterms:modified>
</cp:coreProperties>
</file>