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center"/>
        <w:widowControl w:val="off"/>
        <w:rPr>
          <w:b/>
          <w:sz w:val="28"/>
          <w:szCs w:val="28"/>
        </w:rPr>
      </w:pPr>
      <w:r/>
      <w:bookmarkStart w:id="0" w:name="P125"/>
      <w:r/>
      <w:bookmarkEnd w:id="0"/>
      <w:r>
        <w:rPr>
          <w:b/>
          <w:sz w:val="28"/>
          <w:szCs w:val="28"/>
        </w:rPr>
        <w:t xml:space="preserve">Декларация </w:t>
      </w:r>
      <w:r/>
    </w:p>
    <w:p>
      <w:pPr>
        <w:pStyle w:val="616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инициатора инвестиционного проекта,</w:t>
      </w:r>
      <w:r/>
    </w:p>
    <w:p>
      <w:pPr>
        <w:pStyle w:val="616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соответствующего критериям, установленным </w:t>
      </w:r>
      <w:r>
        <w:rPr>
          <w:rFonts w:eastAsia="Calibri"/>
          <w:b/>
          <w:sz w:val="28"/>
          <w:szCs w:val="28"/>
          <w:lang w:eastAsia="en-US"/>
        </w:rPr>
        <w:t xml:space="preserve">подпунктом «а» пункта 2</w:t>
      </w:r>
      <w:r>
        <w:rPr>
          <w:b/>
          <w:sz w:val="28"/>
          <w:szCs w:val="28"/>
        </w:rPr>
        <w:t xml:space="preserve"> статьи 2 закона Белгородской области от 03 апреля 2015 года № 345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</w:t>
      </w:r>
      <w:r/>
    </w:p>
    <w:p>
      <w:pPr>
        <w:pStyle w:val="616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6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1.1. Настоящая декларация подготовлена инициатором инвестиционного проекта ______________________________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_______________ ___________________________________________________________________</w:t>
      </w:r>
      <w:r>
        <w:rPr>
          <w:sz w:val="28"/>
          <w:szCs w:val="28"/>
        </w:rPr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>
        <w:rPr>
          <w:sz w:val="28"/>
          <w:szCs w:val="28"/>
        </w:rPr>
      </w:r>
      <w:r/>
    </w:p>
    <w:p>
      <w:pPr>
        <w:pStyle w:val="616"/>
        <w:jc w:val="center"/>
        <w:widowControl w:val="off"/>
      </w:pPr>
      <w:r>
        <w:t xml:space="preserve">(указать наименование инициатора проекта)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инициатор проекта) в целях предоставления на основании распоряжения Губернатора Белгородской области земельного участка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аренду без проведения торгов для реализации масштабного инвестиционного проекта 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проект), соответствующего критериям, установленным подпунктом «а» пункта 2 статьи 2 закона Белгородской области от 03 апреля 2015 года </w:t>
      </w:r>
      <w:r>
        <w:rPr>
          <w:sz w:val="28"/>
          <w:szCs w:val="28"/>
        </w:rPr>
        <w:t xml:space="preserve">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Закон № 345).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1.2. Инициатор проекта обязуется в трехдневный срок представить информацию об изменении сведений, указанных в настоящей декларации.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Сведения об инициаторе проекта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и местонахождени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инициатора проекта: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Фирменное наименование (при наличии): __________________________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__________________________________________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____________________________________________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_______________________________________________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2.2. Сведения об учредителях, членах коллегиального исполнительного органа, лицах, исполняющих функции единоличного исполнительного органа инициатора проекта: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(последнее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при наличии) руководителя: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____________________________________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_______________________________________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Сведения о проекте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3.1. Наименование проекта: _____________________________________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6"/>
        <w:jc w:val="center"/>
        <w:widowControl w:val="off"/>
      </w:pPr>
      <w:r>
        <w:t xml:space="preserve">(указать полное наименование проекта)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3.2. Место реализации проекта (почтовый адрес и (или) кадастровый номер земельного участка (кадастровый квартал, в случае если земельный участок предстоит образовать):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3.3. Причинами выбора площадки для реализации проекта являются: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3.4. Сведения о характеристиках земельного участка, необходимого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реализации проекта: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6"/>
        <w:jc w:val="center"/>
        <w:widowControl w:val="off"/>
      </w:pPr>
      <w:r>
        <w:t xml:space="preserve">(указать предполагаемую площадь земельного участка, категорию земель,</w:t>
      </w:r>
      <w:r/>
    </w:p>
    <w:p>
      <w:pPr>
        <w:pStyle w:val="616"/>
        <w:jc w:val="center"/>
        <w:widowControl w:val="off"/>
      </w:pPr>
      <w:r>
        <w:t xml:space="preserve">разрешенное использование земельного участка)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 Общая сумма инвестиций, предусмотренная проектом, составляет ______ рублей, в том числе в форме капитальных вложений ________ рублей.</w:t>
      </w:r>
      <w:r>
        <w:rPr>
          <w:sz w:val="28"/>
          <w:szCs w:val="28"/>
        </w:rPr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3.6. График вложения инвестиций в реализацию инвестиционного проекта (рублей):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 xml:space="preserve"> год _______________________;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год _______________________;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......... ________________________;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i-й год _______________________.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Доля собственных средств при реализации проекта составляет ________ рублей.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Доля кредитных (заемных) средств при реализации проекта составляет ________ рублей.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Срок реализации проекта (срок осуществления капитальных вложений) составляет _______ года (лет), в том числе: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срок получения разрешения на строительство: ______ год;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строительно-монтажных работ: ______ год;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ввод в эксплуатацию: ______ год.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 Период осуществления инвестиций составляет ______ года (лет),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срок окупаемости проекта составляет ______ года (лет).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3.11. Количество создаваемых рабочих мест в муниципальном образовании в результате реализации проекта: _______ единиц.</w:t>
      </w:r>
      <w:r>
        <w:rPr>
          <w:sz w:val="28"/>
          <w:szCs w:val="28"/>
        </w:rPr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создания рабочих мест в муниципальном образовании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единиц</w:t>
      </w:r>
      <w:r>
        <w:rPr>
          <w:sz w:val="28"/>
          <w:szCs w:val="28"/>
        </w:rPr>
        <w:t xml:space="preserve">):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 xml:space="preserve"> год _______________________;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год _______________________;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......... ________________________;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i-й год _______________________.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Объем дополнительных ежегодных поступлений от налогов, взимаемых в консолидированный бюджет Белгородской области, при выходе на проектную мощность: ________ рублей.</w:t>
      </w:r>
      <w:r>
        <w:rPr>
          <w:sz w:val="28"/>
          <w:szCs w:val="28"/>
        </w:rPr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дополнительных ежегодных поступлений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налогов, взимаемых в консолидированный бюджет Белгородской области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рублей</w:t>
      </w:r>
      <w:r>
        <w:rPr>
          <w:sz w:val="28"/>
          <w:szCs w:val="28"/>
        </w:rPr>
        <w:t xml:space="preserve">):</w:t>
      </w:r>
      <w:r>
        <w:rPr>
          <w:sz w:val="28"/>
          <w:szCs w:val="28"/>
        </w:rPr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 xml:space="preserve"> год _______________________;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год _______________________;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......... ________________________;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i-й год _______________________.</w:t>
      </w:r>
      <w:r>
        <w:rPr>
          <w:sz w:val="28"/>
          <w:szCs w:val="28"/>
        </w:rPr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Обязательства инициатора проекта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4.1. Инициатор проекта обязуется обеспечить вложение объема инвестиций в проект в размере, указанном в пункте 3.5 настоящей декларации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сроки, указанные в пункте 3.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настоящей декларации,</w:t>
      </w:r>
      <w:r>
        <w:rPr>
          <w:rFonts w:ascii="Courier New" w:hAnsi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графиком, указанным в пункте 3.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настоящей декларации. 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 обязуется создать рабочие места в муниципальном образовании в результате реализации проекта в количестве, указанном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пункте 3.11 настоящей декларации</w:t>
      </w:r>
      <w:r>
        <w:rPr>
          <w:sz w:val="28"/>
          <w:szCs w:val="28"/>
        </w:rPr>
        <w:t xml:space="preserve">.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 обязуется обеспечить дополнительные ежегодные поступления от налогов, взимаемых в консолидированный бюджет Белгородской области, в объеме, указанном в пункте 3.1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настоящей декларации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4.2. Инициатор проекта дает согласие на заключение договора аренды земельного участка с условием о </w:t>
      </w:r>
      <w:r>
        <w:rPr>
          <w:sz w:val="28"/>
          <w:szCs w:val="28"/>
        </w:rPr>
        <w:t xml:space="preserve">праве арендодателя отказаться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одностороннем порядке </w:t>
      </w:r>
      <w:r>
        <w:rPr>
          <w:sz w:val="28"/>
          <w:szCs w:val="28"/>
        </w:rPr>
        <w:t xml:space="preserve">от исполнения договора аренды </w:t>
      </w:r>
      <w:r>
        <w:rPr>
          <w:sz w:val="28"/>
          <w:szCs w:val="28"/>
        </w:rPr>
        <w:t xml:space="preserve">в случае нарушения инициатором проекта </w:t>
      </w:r>
      <w:r>
        <w:rPr>
          <w:sz w:val="28"/>
          <w:szCs w:val="28"/>
        </w:rPr>
        <w:t xml:space="preserve">пункта 4.1 настоящей декларации</w:t>
      </w:r>
      <w:r>
        <w:rPr>
          <w:sz w:val="28"/>
          <w:szCs w:val="28"/>
        </w:rPr>
        <w:t xml:space="preserve">.</w:t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4.3</w:t>
      </w:r>
      <w:r>
        <w:rPr>
          <w:sz w:val="28"/>
          <w:szCs w:val="28"/>
        </w:rPr>
        <w:t xml:space="preserve">. Инициатор проекта обязуется </w:t>
      </w:r>
      <w:r>
        <w:rPr>
          <w:sz w:val="28"/>
          <w:szCs w:val="28"/>
        </w:rPr>
        <w:t xml:space="preserve">ежеквартально до 20 числа месяца, следующего за отчетным кварталом, </w:t>
      </w:r>
      <w:r>
        <w:rPr>
          <w:sz w:val="28"/>
          <w:szCs w:val="28"/>
        </w:rPr>
        <w:t xml:space="preserve">предоставлять </w:t>
      </w:r>
      <w:r>
        <w:rPr>
          <w:sz w:val="28"/>
          <w:szCs w:val="28"/>
        </w:rPr>
        <w:t xml:space="preserve">в администрацию муниципального района или городского округа, на территории которого планируется к реализации или реализуется инвестиционный проект, </w:t>
        <w:br/>
        <w:t xml:space="preserve">и в отраслевой орган исполнительной власти области </w:t>
      </w:r>
      <w:r>
        <w:rPr>
          <w:sz w:val="28"/>
          <w:szCs w:val="28"/>
        </w:rPr>
        <w:t xml:space="preserve">сведения о ходе реализации проекта с информацией о соответствии фактически достигнутых результатов реализации проекта пар</w:t>
      </w:r>
      <w:r>
        <w:rPr>
          <w:sz w:val="28"/>
          <w:szCs w:val="28"/>
        </w:rPr>
        <w:t xml:space="preserve">аметрам, указанным в декларации.</w:t>
      </w:r>
      <w:r>
        <w:rPr>
          <w:sz w:val="28"/>
          <w:szCs w:val="28"/>
        </w:rPr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 полноту сведений, указанных в настоящей декларации, подтверждаю: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6"/>
        <w:jc w:val="center"/>
        <w:widowControl w:val="off"/>
      </w:pPr>
      <w:r>
        <w:t xml:space="preserve">(Ф.И.О. (отчество - при наличии), должность лица, уполномоченного на</w:t>
      </w:r>
      <w:r/>
    </w:p>
    <w:p>
      <w:pPr>
        <w:pStyle w:val="616"/>
        <w:jc w:val="center"/>
        <w:widowControl w:val="off"/>
      </w:pPr>
      <w:r>
        <w:t xml:space="preserve">осуществление действий от имени инициатора проекта)</w:t>
      </w:r>
      <w:r/>
    </w:p>
    <w:p>
      <w:pPr>
        <w:pStyle w:val="616"/>
        <w:jc w:val="center"/>
        <w:widowControl w:val="off"/>
      </w:pPr>
      <w:r/>
      <w:r/>
    </w:p>
    <w:p>
      <w:pPr>
        <w:pStyle w:val="616"/>
        <w:jc w:val="center"/>
        <w:widowControl w:val="off"/>
      </w:pPr>
      <w:r/>
      <w:r/>
    </w:p>
    <w:p>
      <w:pPr>
        <w:pStyle w:val="616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___________________________________</w:t>
      </w:r>
      <w:r/>
    </w:p>
    <w:p>
      <w:pPr>
        <w:pStyle w:val="616"/>
        <w:jc w:val="both"/>
        <w:widowControl w:val="off"/>
        <w:rPr>
          <w:highlight w:val="none"/>
        </w:rPr>
      </w:pPr>
      <w:r>
        <w:t xml:space="preserve">     Подпись, печать (при наличии)                         Дата составления настоящей декларации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/>
      <w:r/>
    </w:p>
    <w:p>
      <w:pPr>
        <w:ind w:left="0" w:right="0" w:firstLine="0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i/>
          <w:color w:val="373A3C"/>
          <w:sz w:val="24"/>
        </w:rPr>
        <w:t xml:space="preserve">Инвестиционный совет при Губернаторе области</w:t>
      </w:r>
      <w:r>
        <w:rPr>
          <w:rFonts w:ascii="Arial" w:hAnsi="Arial" w:cs="Arial" w:eastAsia="Arial"/>
          <w:color w:val="373A3C"/>
          <w:sz w:val="24"/>
        </w:rPr>
        <w:t xml:space="preserve"> – постоянно действующий, коллегиальный совещательный орган.</w:t>
      </w:r>
      <w:r/>
    </w:p>
    <w:p>
      <w:pPr>
        <w:ind w:left="0" w:right="0" w:firstLine="0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i/>
          <w:color w:val="373A3C"/>
          <w:sz w:val="24"/>
        </w:rPr>
        <w:t xml:space="preserve">Цель создания Инвестиционного совета</w:t>
      </w:r>
      <w:r>
        <w:rPr>
          <w:rFonts w:ascii="Arial" w:hAnsi="Arial" w:cs="Arial" w:eastAsia="Arial"/>
          <w:color w:val="373A3C"/>
          <w:sz w:val="24"/>
        </w:rPr>
        <w:t xml:space="preserve"> – координация деятельности по привлечению и размещению инвестиций на территории области, в том числе путем отбора инвестиционных проектов, нуждающихся в государственной поддержке.</w:t>
      </w:r>
      <w:r/>
    </w:p>
    <w:p>
      <w:pPr>
        <w:ind w:left="0" w:right="0" w:firstLine="0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i/>
          <w:color w:val="373A3C"/>
          <w:sz w:val="24"/>
        </w:rPr>
        <w:t xml:space="preserve">Виды государственной поддержки;</w:t>
      </w:r>
      <w:r/>
    </w:p>
    <w:p>
      <w:pPr>
        <w:ind w:left="0" w:right="0" w:firstLine="0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- Предоставление земельных участков в аренду без торгов;</w:t>
      </w:r>
      <w:r/>
    </w:p>
    <w:p>
      <w:pPr>
        <w:ind w:left="0" w:right="0" w:firstLine="0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- Предоставление залогового обеспечения исполнения кредитных обязательств;</w:t>
      </w:r>
      <w:r/>
    </w:p>
    <w:p>
      <w:pPr>
        <w:ind w:left="0" w:right="0" w:firstLine="0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- Предоставление государственных гарантий области. </w:t>
      </w:r>
      <w:r/>
    </w:p>
    <w:p>
      <w:pPr>
        <w:ind w:left="0" w:right="0" w:firstLine="0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i/>
          <w:color w:val="373A3C"/>
          <w:sz w:val="24"/>
        </w:rPr>
        <w:t xml:space="preserve">Нормативные правовые акты, регулирующие деятельность Инвестиционного совета:</w:t>
      </w:r>
      <w:r/>
    </w:p>
    <w:p>
      <w:pPr>
        <w:ind w:left="0" w:right="0" w:firstLine="0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- Постановление главы администрации области от 11 июля 2002 года №283 «Об образовании Инвестиционного совета при Губернаторе области»;</w:t>
      </w:r>
      <w:r/>
    </w:p>
    <w:p>
      <w:pPr>
        <w:ind w:left="0" w:right="0" w:firstLine="0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- Постановление Правительства Белгородской области</w:t>
        <w:br/>
        <w:t xml:space="preserve">от 27 апреля 2007 года №93-пп «Об утверждении порядка рассмотрения и одобрения Инвестиционным советом при Губернаторе Белгородской области инвестиционных проектов»;</w:t>
      </w:r>
      <w:r/>
    </w:p>
    <w:p>
      <w:pPr>
        <w:ind w:left="0" w:right="0" w:firstLine="0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- Закон Белгородской области от 25 ноября 2019 года</w:t>
        <w:br/>
        <w:t xml:space="preserve">№411 «О государственных гарантиях Белгородской области»;</w:t>
      </w:r>
      <w:r/>
    </w:p>
    <w:p>
      <w:pPr>
        <w:ind w:left="0" w:right="0" w:firstLine="0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- Закон Белгородской области от 7 июня 2011 года №44</w:t>
        <w:br/>
        <w:t xml:space="preserve">«О порядке управления и распоряжения государственной собственностью Белгородской области»;</w:t>
      </w:r>
      <w:r/>
    </w:p>
    <w:p>
      <w:pPr>
        <w:ind w:left="0" w:right="0" w:firstLine="0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- Закон Белгородской области от 3 апреля 2015 года №345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</w:t>
      </w:r>
      <w:r>
        <w:rPr>
          <w:rFonts w:ascii="Arial" w:hAnsi="Arial" w:cs="Arial" w:eastAsia="Arial"/>
          <w:color w:val="373A3C"/>
          <w:sz w:val="24"/>
        </w:rPr>
        <w:t xml:space="preserve">и предоставляются в аренду без проведения торгов»;</w:t>
      </w:r>
      <w:r/>
    </w:p>
    <w:p>
      <w:pPr>
        <w:ind w:left="0" w:right="0" w:firstLine="0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- Постановление Правительства Белгородской области</w:t>
        <w:br/>
        <w:t xml:space="preserve">от 23 ноября 2015 года №418-пп «Об утверждении административного регламента предоставления государственной услуги департаментом имущественных и земельных отношений Белгородской области по рассмотрению хода</w:t>
      </w:r>
      <w:r>
        <w:rPr>
          <w:rFonts w:ascii="Arial" w:hAnsi="Arial" w:cs="Arial" w:eastAsia="Arial"/>
          <w:color w:val="373A3C"/>
          <w:sz w:val="24"/>
        </w:rPr>
        <w:t xml:space="preserve">тайств о предоставлении земельных участков в аренду без проведения торгов для размещения объектов социально-культурного и коммунально-бытового назначения, реализации инвестиционных проектов и подготовке проектов соответствующих распоряжений Губернатора Бел</w:t>
      </w:r>
      <w:r>
        <w:rPr>
          <w:rFonts w:ascii="Arial" w:hAnsi="Arial" w:cs="Arial" w:eastAsia="Arial"/>
          <w:color w:val="373A3C"/>
          <w:sz w:val="24"/>
        </w:rPr>
        <w:t xml:space="preserve">городской области».</w:t>
      </w:r>
      <w:r/>
    </w:p>
    <w:p>
      <w:pPr>
        <w:jc w:val="both"/>
        <w:widowControl w:val="off"/>
      </w:pPr>
      <w:r>
        <w:rPr>
          <w:highlight w:val="none"/>
        </w:rPr>
      </w:r>
      <w:r>
        <w:rPr>
          <w:highlight w:val="none"/>
        </w:rPr>
      </w:r>
    </w:p>
    <w:sectPr>
      <w:headerReference w:type="default" r:id="rId8"/>
      <w:footnotePr/>
      <w:endnotePr/>
      <w:type w:val="nextPage"/>
      <w:pgSz w:w="11906" w:h="16838" w:orient="portrait"/>
      <w:pgMar w:top="851" w:right="707" w:bottom="709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62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6"/>
    <w:next w:val="61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6"/>
    <w:next w:val="61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6"/>
    <w:next w:val="61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6"/>
    <w:next w:val="61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16"/>
    <w:next w:val="61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16"/>
    <w:next w:val="61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6"/>
    <w:next w:val="61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1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1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rPr>
      <w:sz w:val="24"/>
      <w:szCs w:val="24"/>
      <w:lang w:val="ru-RU" w:bidi="ar-SA" w:eastAsia="ru-RU"/>
    </w:rPr>
  </w:style>
  <w:style w:type="character" w:styleId="617">
    <w:name w:val="Основной шрифт абзаца"/>
    <w:next w:val="617"/>
    <w:link w:val="623"/>
    <w:semiHidden/>
  </w:style>
  <w:style w:type="table" w:styleId="618">
    <w:name w:val="Обычная таблица"/>
    <w:next w:val="618"/>
    <w:link w:val="616"/>
    <w:semiHidden/>
    <w:tblPr/>
  </w:style>
  <w:style w:type="numbering" w:styleId="619">
    <w:name w:val="Нет списка"/>
    <w:next w:val="619"/>
    <w:link w:val="616"/>
    <w:semiHidden/>
  </w:style>
  <w:style w:type="table" w:styleId="620">
    <w:name w:val="Сетка таблицы"/>
    <w:basedOn w:val="618"/>
    <w:next w:val="620"/>
    <w:link w:val="616"/>
    <w:tblPr/>
  </w:style>
  <w:style w:type="paragraph" w:styleId="621">
    <w:name w:val="ConsPlusNonformat"/>
    <w:next w:val="621"/>
    <w:link w:val="616"/>
    <w:pPr>
      <w:widowControl w:val="off"/>
    </w:pPr>
    <w:rPr>
      <w:rFonts w:ascii="Courier New" w:hAnsi="Courier New"/>
      <w:lang w:val="ru-RU" w:bidi="ar-SA" w:eastAsia="ru-RU"/>
    </w:rPr>
  </w:style>
  <w:style w:type="paragraph" w:styleId="622">
    <w:name w:val="Текст выноски"/>
    <w:basedOn w:val="616"/>
    <w:next w:val="622"/>
    <w:link w:val="616"/>
    <w:semiHidden/>
    <w:rPr>
      <w:rFonts w:ascii="Tahoma" w:hAnsi="Tahoma"/>
      <w:sz w:val="16"/>
      <w:szCs w:val="16"/>
    </w:rPr>
  </w:style>
  <w:style w:type="paragraph" w:styleId="623">
    <w:name w:val=" Знак"/>
    <w:basedOn w:val="616"/>
    <w:next w:val="623"/>
    <w:link w:val="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624">
    <w:name w:val="Верхний колонтитул"/>
    <w:basedOn w:val="616"/>
    <w:next w:val="624"/>
    <w:link w:val="625"/>
    <w:pPr>
      <w:tabs>
        <w:tab w:val="center" w:pos="4677" w:leader="none"/>
        <w:tab w:val="right" w:pos="9355" w:leader="none"/>
      </w:tabs>
    </w:pPr>
  </w:style>
  <w:style w:type="character" w:styleId="625">
    <w:name w:val="Верхний колонтитул Знак"/>
    <w:next w:val="625"/>
    <w:link w:val="624"/>
    <w:rPr>
      <w:sz w:val="24"/>
      <w:szCs w:val="24"/>
    </w:rPr>
  </w:style>
  <w:style w:type="paragraph" w:styleId="626">
    <w:name w:val="Нижний колонтитул"/>
    <w:basedOn w:val="616"/>
    <w:next w:val="626"/>
    <w:link w:val="627"/>
    <w:pPr>
      <w:tabs>
        <w:tab w:val="center" w:pos="4677" w:leader="none"/>
        <w:tab w:val="right" w:pos="9355" w:leader="none"/>
      </w:tabs>
    </w:pPr>
  </w:style>
  <w:style w:type="character" w:styleId="627">
    <w:name w:val="Нижний колонтитул Знак"/>
    <w:next w:val="627"/>
    <w:link w:val="626"/>
    <w:rPr>
      <w:sz w:val="24"/>
      <w:szCs w:val="24"/>
    </w:rPr>
  </w:style>
  <w:style w:type="character" w:styleId="1070" w:default="1">
    <w:name w:val="Default Paragraph Font"/>
    <w:uiPriority w:val="1"/>
    <w:semiHidden/>
    <w:unhideWhenUsed/>
  </w:style>
  <w:style w:type="numbering" w:styleId="1071" w:default="1">
    <w:name w:val="No List"/>
    <w:uiPriority w:val="99"/>
    <w:semiHidden/>
    <w:unhideWhenUsed/>
  </w:style>
  <w:style w:type="table" w:styleId="107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2022-06-03T11:52:13Z</dcterms:modified>
</cp:coreProperties>
</file>