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 С 1 июня 2022 года МРОТ составляет 15 279 рублей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354297" cy="2732964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9626119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5354297" cy="2732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1.6pt;height:215.2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</w:p>
    <w:p>
      <w:pPr>
        <w:ind w:left="0" w:right="0" w:firstLine="708"/>
        <w:jc w:val="both"/>
        <w:spacing w:before="0" w:after="255" w:line="270" w:lineRule="atLeast"/>
        <w:shd w:val="clear" w:color="ffffff" w:fill="ffffff"/>
        <w:rPr>
          <w:rFonts w:ascii="Times New Roman" w:hAnsi="Times New Roman" w:cs="Times New Roman" w:eastAsia="Times New Roman"/>
          <w:b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333333"/>
          <w:sz w:val="28"/>
        </w:rPr>
        <w:t xml:space="preserve">С 1 июня 2022 года</w:t>
      </w:r>
      <w:r>
        <w:rPr>
          <w:rFonts w:ascii="Times New Roman" w:hAnsi="Times New Roman" w:cs="Times New Roman" w:eastAsia="Times New Roman"/>
          <w:color w:val="333333"/>
          <w:sz w:val="28"/>
        </w:rPr>
        <w:t xml:space="preserve"> в соответствии с постановлением Правительства Российской Федерации от 28 мая 2022 г. № 973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z w:val="28"/>
          <w:highlight w:val="white"/>
        </w:rPr>
        <w:t xml:space="preserve">"Об особенностях исчисления и установления в 2022 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</w:t>
      </w:r>
      <w:r>
        <w:rPr>
          <w:rFonts w:ascii="Times New Roman" w:hAnsi="Times New Roman" w:cs="Times New Roman" w:eastAsia="Times New Roman"/>
          <w:color w:val="333333"/>
          <w:sz w:val="28"/>
          <w:highlight w:val="white"/>
        </w:rPr>
        <w:t xml:space="preserve">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абзацем четвертым-шестым пункта 1 статьи 25 Федерального закона "О государственном пенси</w:t>
      </w:r>
      <w:r>
        <w:rPr>
          <w:rFonts w:ascii="Times New Roman" w:hAnsi="Times New Roman" w:cs="Times New Roman" w:eastAsia="Times New Roman"/>
          <w:color w:val="333333"/>
          <w:sz w:val="28"/>
          <w:highlight w:val="white"/>
        </w:rPr>
        <w:t xml:space="preserve">онном обеспечении в Российской Федерации"</w:t>
      </w:r>
      <w:r>
        <w:rPr>
          <w:rFonts w:ascii="Times New Roman" w:hAnsi="Times New Roman" w:cs="Times New Roman" w:eastAsia="Times New Roman"/>
          <w:color w:val="333333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z w:val="28"/>
        </w:rPr>
        <w:t xml:space="preserve">минимальный размер оплаты труда  составляет  </w:t>
      </w:r>
      <w:r>
        <w:rPr>
          <w:rFonts w:ascii="Times New Roman" w:hAnsi="Times New Roman" w:cs="Times New Roman" w:eastAsia="Times New Roman"/>
          <w:b/>
          <w:color w:val="333333"/>
          <w:sz w:val="28"/>
        </w:rPr>
        <w:t xml:space="preserve">15 279 рублей.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sz w:val="28"/>
          <w:highlight w:val="none"/>
        </w:rPr>
        <w:t xml:space="preserve">Таким образом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минимальная заработная плата сотрудников, которые отработали месячную норму рабочего времени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, с июня 2022 года должна быть не менее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  <w:highlight w:val="none"/>
        </w:rPr>
        <w:t xml:space="preserve">15 279 рублей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. Работодателям нужно помнить что повышение окладов – это не единственный способ довести уровень заработной платы до минимального размера оплаты труда. Сделать это можно за счет иных выплат (например, специальная доплата до уровня МРОТ).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5"/>
        <w:ind w:firstLine="708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Ряд выплат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нельзя включать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 расчет МРОТ:</w:t>
      </w:r>
      <w:r/>
    </w:p>
    <w:p>
      <w:pPr>
        <w:pStyle w:val="825"/>
        <w:ind w:firstLine="708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 премии к праздникам и юбилейным датам;</w:t>
      </w:r>
      <w:r/>
    </w:p>
    <w:p>
      <w:pPr>
        <w:pStyle w:val="825"/>
        <w:ind w:firstLine="708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 оплата сверхурочной, ночной работы, работы в выходные и праздники; </w:t>
        <w:tab/>
        <w:t xml:space="preserve">-  зарплата внутренних совместителей (т.к её выплачивают по отдельным трудовым договорам); </w:t>
      </w:r>
      <w:r/>
    </w:p>
    <w:p>
      <w:pPr>
        <w:pStyle w:val="825"/>
        <w:ind w:firstLine="708"/>
        <w:jc w:val="both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доплата за совмещение должностей.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r>
        <w:rPr>
          <w:highlight w:val="none"/>
        </w:rPr>
      </w:r>
      <w:r>
        <w:rPr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30102010509060703"/>
  </w:font>
  <w:font w:name="Courier New">
    <w:panose1 w:val="02070309020205020404"/>
  </w:font>
  <w:font w:name="Symbol">
    <w:panose1 w:val="050401020108070707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6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6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6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6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6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6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6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6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6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2"/>
    <w:next w:val="822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7">
    <w:name w:val="Heading 1 Char"/>
    <w:link w:val="646"/>
    <w:uiPriority w:val="9"/>
    <w:rPr>
      <w:rFonts w:ascii="Arial" w:hAnsi="Arial" w:cs="Arial" w:eastAsia="Arial"/>
      <w:sz w:val="40"/>
      <w:szCs w:val="40"/>
    </w:rPr>
  </w:style>
  <w:style w:type="paragraph" w:styleId="648">
    <w:name w:val="Heading 2"/>
    <w:basedOn w:val="822"/>
    <w:next w:val="822"/>
    <w:link w:val="6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9">
    <w:name w:val="Heading 2 Char"/>
    <w:link w:val="648"/>
    <w:uiPriority w:val="9"/>
    <w:rPr>
      <w:rFonts w:ascii="Arial" w:hAnsi="Arial" w:cs="Arial" w:eastAsia="Arial"/>
      <w:sz w:val="34"/>
    </w:rPr>
  </w:style>
  <w:style w:type="paragraph" w:styleId="650">
    <w:name w:val="Heading 3"/>
    <w:basedOn w:val="822"/>
    <w:next w:val="822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1">
    <w:name w:val="Heading 3 Char"/>
    <w:link w:val="650"/>
    <w:uiPriority w:val="9"/>
    <w:rPr>
      <w:rFonts w:ascii="Arial" w:hAnsi="Arial" w:cs="Arial" w:eastAsia="Arial"/>
      <w:sz w:val="30"/>
      <w:szCs w:val="30"/>
    </w:rPr>
  </w:style>
  <w:style w:type="paragraph" w:styleId="652">
    <w:name w:val="Heading 4"/>
    <w:basedOn w:val="822"/>
    <w:next w:val="822"/>
    <w:link w:val="65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3">
    <w:name w:val="Heading 4 Char"/>
    <w:link w:val="652"/>
    <w:uiPriority w:val="9"/>
    <w:rPr>
      <w:rFonts w:ascii="Arial" w:hAnsi="Arial" w:cs="Arial" w:eastAsia="Arial"/>
      <w:b/>
      <w:bCs/>
      <w:sz w:val="26"/>
      <w:szCs w:val="26"/>
    </w:rPr>
  </w:style>
  <w:style w:type="paragraph" w:styleId="654">
    <w:name w:val="Heading 5"/>
    <w:basedOn w:val="822"/>
    <w:next w:val="822"/>
    <w:link w:val="6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5">
    <w:name w:val="Heading 5 Char"/>
    <w:link w:val="654"/>
    <w:uiPriority w:val="9"/>
    <w:rPr>
      <w:rFonts w:ascii="Arial" w:hAnsi="Arial" w:cs="Arial" w:eastAsia="Arial"/>
      <w:b/>
      <w:bCs/>
      <w:sz w:val="24"/>
      <w:szCs w:val="24"/>
    </w:rPr>
  </w:style>
  <w:style w:type="paragraph" w:styleId="656">
    <w:name w:val="Heading 6"/>
    <w:basedOn w:val="822"/>
    <w:next w:val="822"/>
    <w:link w:val="6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7">
    <w:name w:val="Heading 6 Char"/>
    <w:link w:val="656"/>
    <w:uiPriority w:val="9"/>
    <w:rPr>
      <w:rFonts w:ascii="Arial" w:hAnsi="Arial" w:cs="Arial" w:eastAsia="Arial"/>
      <w:b/>
      <w:bCs/>
      <w:sz w:val="22"/>
      <w:szCs w:val="22"/>
    </w:rPr>
  </w:style>
  <w:style w:type="paragraph" w:styleId="658">
    <w:name w:val="Heading 7"/>
    <w:basedOn w:val="822"/>
    <w:next w:val="822"/>
    <w:link w:val="6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9">
    <w:name w:val="Heading 7 Char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0">
    <w:name w:val="Heading 8"/>
    <w:basedOn w:val="822"/>
    <w:next w:val="822"/>
    <w:link w:val="6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1">
    <w:name w:val="Heading 8 Char"/>
    <w:link w:val="660"/>
    <w:uiPriority w:val="9"/>
    <w:rPr>
      <w:rFonts w:ascii="Arial" w:hAnsi="Arial" w:cs="Arial" w:eastAsia="Arial"/>
      <w:i/>
      <w:iCs/>
      <w:sz w:val="22"/>
      <w:szCs w:val="22"/>
    </w:rPr>
  </w:style>
  <w:style w:type="paragraph" w:styleId="662">
    <w:name w:val="Heading 9"/>
    <w:basedOn w:val="822"/>
    <w:next w:val="822"/>
    <w:link w:val="6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3">
    <w:name w:val="Heading 9 Char"/>
    <w:link w:val="662"/>
    <w:uiPriority w:val="9"/>
    <w:rPr>
      <w:rFonts w:ascii="Arial" w:hAnsi="Arial" w:cs="Arial" w:eastAsia="Arial"/>
      <w:i/>
      <w:iCs/>
      <w:sz w:val="21"/>
      <w:szCs w:val="21"/>
    </w:rPr>
  </w:style>
  <w:style w:type="paragraph" w:styleId="664">
    <w:name w:val="Title"/>
    <w:basedOn w:val="822"/>
    <w:next w:val="822"/>
    <w:link w:val="66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5">
    <w:name w:val="Title Char"/>
    <w:link w:val="664"/>
    <w:uiPriority w:val="10"/>
    <w:rPr>
      <w:sz w:val="48"/>
      <w:szCs w:val="48"/>
    </w:rPr>
  </w:style>
  <w:style w:type="paragraph" w:styleId="666">
    <w:name w:val="Subtitle"/>
    <w:basedOn w:val="822"/>
    <w:next w:val="822"/>
    <w:link w:val="667"/>
    <w:uiPriority w:val="11"/>
    <w:qFormat/>
    <w:pPr>
      <w:spacing w:before="200" w:after="200"/>
    </w:pPr>
    <w:rPr>
      <w:sz w:val="24"/>
      <w:szCs w:val="24"/>
    </w:rPr>
  </w:style>
  <w:style w:type="character" w:styleId="667">
    <w:name w:val="Subtitle Char"/>
    <w:link w:val="666"/>
    <w:uiPriority w:val="11"/>
    <w:rPr>
      <w:sz w:val="24"/>
      <w:szCs w:val="24"/>
    </w:rPr>
  </w:style>
  <w:style w:type="paragraph" w:styleId="668">
    <w:name w:val="Quote"/>
    <w:basedOn w:val="822"/>
    <w:next w:val="822"/>
    <w:link w:val="669"/>
    <w:uiPriority w:val="29"/>
    <w:qFormat/>
    <w:pPr>
      <w:ind w:left="720" w:right="720"/>
    </w:pPr>
    <w:rPr>
      <w:i/>
    </w:r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22"/>
    <w:next w:val="822"/>
    <w:link w:val="6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1">
    <w:name w:val="Intense Quote Char"/>
    <w:link w:val="670"/>
    <w:uiPriority w:val="30"/>
    <w:rPr>
      <w:i/>
    </w:rPr>
  </w:style>
  <w:style w:type="paragraph" w:styleId="672">
    <w:name w:val="Header"/>
    <w:basedOn w:val="822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Header Char"/>
    <w:link w:val="672"/>
    <w:uiPriority w:val="99"/>
  </w:style>
  <w:style w:type="paragraph" w:styleId="674">
    <w:name w:val="Footer"/>
    <w:basedOn w:val="822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Footer Char"/>
    <w:link w:val="674"/>
    <w:uiPriority w:val="99"/>
  </w:style>
  <w:style w:type="paragraph" w:styleId="676">
    <w:name w:val="Caption"/>
    <w:basedOn w:val="822"/>
    <w:next w:val="8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7">
    <w:name w:val="Caption Char"/>
    <w:basedOn w:val="676"/>
    <w:link w:val="674"/>
    <w:uiPriority w:val="99"/>
  </w:style>
  <w:style w:type="table" w:styleId="678">
    <w:name w:val="Table Grid"/>
    <w:basedOn w:val="82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Table Grid Light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5">
    <w:name w:val="Grid Table 1 Light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4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7">
    <w:name w:val="Grid Table 4 - Accent 1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8">
    <w:name w:val="Grid Table 4 - Accent 2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9">
    <w:name w:val="Grid Table 4 - Accent 3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0">
    <w:name w:val="Grid Table 4 - Accent 4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1">
    <w:name w:val="Grid Table 4 - Accent 5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2">
    <w:name w:val="Grid Table 4 - Accent 6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3">
    <w:name w:val="Grid Table 5 Dark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7">
    <w:name w:val="Grid Table 5 Dark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0">
    <w:name w:val="Grid Table 6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2">
    <w:name w:val="List Table 2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3">
    <w:name w:val="List Table 2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4">
    <w:name w:val="List Table 2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5">
    <w:name w:val="List Table 2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6">
    <w:name w:val="List Table 2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7">
    <w:name w:val="List Table 2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8">
    <w:name w:val="List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0">
    <w:name w:val="List Table 6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1">
    <w:name w:val="List Table 6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2">
    <w:name w:val="List Table 6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3">
    <w:name w:val="List Table 6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4">
    <w:name w:val="List Table 6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5">
    <w:name w:val="List Table 6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6">
    <w:name w:val="List Table 7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8">
    <w:name w:val="List Table 7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9">
    <w:name w:val="List Table 7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0">
    <w:name w:val="List Table 7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1">
    <w:name w:val="List Table 7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2">
    <w:name w:val="List Table 7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3">
    <w:name w:val="Lined - Accent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Lined - Accent 1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5">
    <w:name w:val="Lined - Accent 2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6">
    <w:name w:val="Lined - Accent 3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7">
    <w:name w:val="Lined - Accent 4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8">
    <w:name w:val="Lined - Accent 5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9">
    <w:name w:val="Lined - Accent 6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0">
    <w:name w:val="Bordered &amp; Lined - Accent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Bordered &amp; Lined - Accent 1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2">
    <w:name w:val="Bordered &amp; Lined - Accent 2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3">
    <w:name w:val="Bordered &amp; Lined - Accent 3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4">
    <w:name w:val="Bordered &amp; Lined - Accent 4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5">
    <w:name w:val="Bordered &amp; Lined - Accent 5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6">
    <w:name w:val="Bordered &amp; Lined - Accent 6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7">
    <w:name w:val="Bordered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8">
    <w:name w:val="Bordered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9">
    <w:name w:val="Bordered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0">
    <w:name w:val="Bordered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1">
    <w:name w:val="Bordered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2">
    <w:name w:val="Bordered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3">
    <w:name w:val="Bordered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822"/>
    <w:link w:val="806"/>
    <w:uiPriority w:val="99"/>
    <w:semiHidden/>
    <w:unhideWhenUsed/>
    <w:pPr>
      <w:spacing w:after="40" w:line="240" w:lineRule="auto"/>
    </w:pPr>
    <w:rPr>
      <w:sz w:val="18"/>
    </w:r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uiPriority w:val="99"/>
    <w:unhideWhenUsed/>
    <w:rPr>
      <w:vertAlign w:val="superscript"/>
    </w:rPr>
  </w:style>
  <w:style w:type="paragraph" w:styleId="808">
    <w:name w:val="endnote text"/>
    <w:basedOn w:val="822"/>
    <w:link w:val="809"/>
    <w:uiPriority w:val="99"/>
    <w:semiHidden/>
    <w:unhideWhenUsed/>
    <w:pPr>
      <w:spacing w:after="0" w:line="240" w:lineRule="auto"/>
    </w:pPr>
    <w:rPr>
      <w:sz w:val="20"/>
    </w:r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uiPriority w:val="99"/>
    <w:semiHidden/>
    <w:unhideWhenUsed/>
    <w:rPr>
      <w:vertAlign w:val="superscript"/>
    </w:rPr>
  </w:style>
  <w:style w:type="paragraph" w:styleId="811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22" w:default="1">
    <w:name w:val="Normal"/>
    <w:qFormat/>
  </w:style>
  <w:style w:type="table" w:styleId="8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4" w:default="1">
    <w:name w:val="No List"/>
    <w:uiPriority w:val="99"/>
    <w:semiHidden/>
    <w:unhideWhenUsed/>
  </w:style>
  <w:style w:type="paragraph" w:styleId="825">
    <w:name w:val="No Spacing"/>
    <w:basedOn w:val="822"/>
    <w:uiPriority w:val="1"/>
    <w:qFormat/>
    <w:pPr>
      <w:spacing w:after="0" w:line="240" w:lineRule="auto"/>
    </w:pPr>
  </w:style>
  <w:style w:type="paragraph" w:styleId="826">
    <w:name w:val="List Paragraph"/>
    <w:basedOn w:val="822"/>
    <w:uiPriority w:val="34"/>
    <w:qFormat/>
    <w:pPr>
      <w:contextualSpacing/>
      <w:ind w:left="720"/>
    </w:pPr>
  </w:style>
  <w:style w:type="character" w:styleId="82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2022-06-30T06:55:41Z</dcterms:modified>
</cp:coreProperties>
</file>