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Уведомление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нормативного правового акта на предмет его влияния на конкуренцию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Style w:val="818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 xml:space="preserve">Экономическое управление администрации Чернянского района 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муниципального района «Чернянский район» Белгородской области «Об утверждении муниципальной программы «Обеспечение безопасности жизнедеятельности населения и территорий Чернянского района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Б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елгородской области» на предмет его влияния на конкуренцию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Замечания и предложения принимаются по адресу: Белгородская область, п. Чернянка, пл. Октябрьская, д. 1, а также по адресу электронной почты: obchern40@ch.belregion.ru.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Сроки приема предложений и замечаний: с 3 декабря 2024  года по 16 декабря 2024 года.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10.02.2025 г. в составе ежегодного доклада об антимонопольном комплаенсе будет размещен на официальном сайте органов местного самоуправления Чернянского района в разделе «Антимонопольный комплаенс».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К уведомлению прилагаются: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1. Анкета участника публичных консультаций в формате word.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 xml:space="preserve">2. Текст проекта постановления администрации муниципального района «Чернянский район» Белгородской области «Об утверждении муниципальной программы «Обеспечение безопасности жизнедеятельности населения и территорий Чернянского района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Б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елгородской области» в формате word.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3.Обоснование необходимости реализации предлагаемых решений посредством принятия нормативного правового акта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комплаенс», подраздел «Анализ проектов нормативных правовых актов»: https://admchern.gosuslugi.ru/spravochnik/ekonomika/antimonopolnyy-komplaens/dokumenty-analiz-proektov-normativnyh-pravovyh-aktov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i/>
                <w:i/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>Контактное лицо: Сапронова Елена Владимировна</w:t>
            </w:r>
            <w:r>
              <w:rPr>
                <w:rFonts w:cs="Times New Roman"/>
                <w:i/>
                <w:kern w:val="0"/>
                <w:sz w:val="20"/>
                <w:szCs w:val="20"/>
                <w:highlight w:val="white"/>
                <w:lang w:val="ru-RU" w:bidi="ar-SA"/>
              </w:rPr>
              <w:t>, ведущий специалист группы по взаимодействию с правоохранительными, судебными и контрольно-надзорными органами МКУ «Управление по делам ГО и ЧС» муниципального района «Чернянский район» Белгородской области. Контактный телефон 5-53-43</w:t>
            </w:r>
            <w:r>
              <w:rPr>
                <w:rFonts w:cs="Times New Roman"/>
                <w:i/>
                <w:kern w:val="0"/>
                <w:sz w:val="20"/>
                <w:szCs w:val="20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Режим работы: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с 8-00 до 17-00, перерыв с 12-00 до 13-00</w:t>
            </w:r>
          </w:p>
        </w:tc>
      </w:tr>
    </w:tbl>
    <w:p>
      <w:pPr>
        <w:pStyle w:val="Normal"/>
        <w:spacing w:before="0" w:after="200"/>
        <w:rPr>
          <w:sz w:val="22"/>
          <w:szCs w:val="22"/>
        </w:rPr>
      </w:pPr>
      <w:r>
        <w:rPr/>
      </w:r>
    </w:p>
    <w:sectPr>
      <w:type w:val="nextPage"/>
      <w:pgSz w:w="11906" w:h="16838"/>
      <w:pgMar w:left="1701" w:right="567" w:gutter="0" w:header="0" w:top="709" w:footer="0" w:bottom="28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cstheme="minorBidi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keepNext w:val="false"/>
      <w:keepLines w:val="false"/>
      <w:pageBreakBefore w:val="false"/>
      <w:widowControl/>
      <w:shd w:val="nil" w:color="000000"/>
      <w:tabs>
        <w:tab w:val="clear" w:pos="708"/>
        <w:tab w:val="left" w:pos="720" w:leader="none"/>
      </w:tabs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zh-CN" w:bidi="ar-SA"/>
      <w14:ligatures w14:val="none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Стиль1 Знак"/>
    <w:basedOn w:val="DefaultParagraphFont"/>
    <w:qFormat/>
    <w:rPr>
      <w:rFonts w:ascii="Times New Roman" w:hAnsi="Times New Roman"/>
      <w:sz w:val="24"/>
      <w:szCs w:val="24"/>
    </w:rPr>
  </w:style>
  <w:style w:type="character" w:styleId="Style9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lineRule="auto" w:line="240" w:beforeAutospacing="0" w:before="0" w:afterAutospacing="0" w:after="200"/>
      <w:jc w:val="both"/>
    </w:pPr>
    <w:rPr>
      <w:rFonts w:ascii="Times New Roman" w:hAnsi="Times New Roman" w:eastAsia="Calibri" w:cs="Arial" w:cstheme="minorBidi" w:eastAsiaTheme="minorHAnsi"/>
      <w:color w:val="auto"/>
      <w:kern w:val="0"/>
      <w:sz w:val="24"/>
      <w:szCs w:val="24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 w:customStyle="1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 w:eastAsiaTheme="minorHAnsi"/>
      <w:lang w:eastAsia="en-US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200"/>
      <w:ind w:firstLine="709"/>
      <w:jc w:val="both"/>
    </w:pPr>
    <w:rPr>
      <w:rFonts w:ascii="Times New Roman" w:hAnsi="Times New Roman" w:eastAsia="Arial" w:cs="Arial" w:eastAsiaTheme="minorEastAsia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LibreOffice/7.4.4.2$Linux_X86_64 LibreOffice_project/40$Build-2</Application>
  <AppVersion>15.0000</AppVersion>
  <Pages>1</Pages>
  <Words>310</Words>
  <Characters>2490</Characters>
  <CharactersWithSpaces>2786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2020-06-04T07:29:00Z</dcterms:created>
  <dc:creator>URI</dc:creator>
  <dc:description/>
  <dc:language>ru-RU</dc:language>
  <cp:lastModifiedBy/>
  <dcterms:modified xsi:type="dcterms:W3CDTF">2024-12-03T16:15:42Z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