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БЕЛГОРОДСКАЯ ОБЛАСТЬ</w:t>
      </w:r>
      <w:r/>
    </w:p>
    <w:p>
      <w:pPr>
        <w:pStyle w:val="916"/>
        <w:jc w:val="center"/>
      </w:pPr>
      <w:r>
        <w:rPr>
          <w:b/>
        </w:rPr>
        <w:t xml:space="preserve">ЧЕРНЯНСКИЙ РАЙОН</w:t>
      </w:r>
      <w:r>
        <w:rPr>
          <w:b/>
          <w:bCs/>
          <w:highlight w:val="none"/>
        </w:rPr>
      </w:r>
      <w:r/>
    </w:p>
    <w:p>
      <w:pPr>
        <w:pStyle w:val="916"/>
        <w:jc w:val="right"/>
      </w:pPr>
      <w:r>
        <w:rPr>
          <w:b/>
          <w:bCs/>
        </w:rPr>
        <w:t xml:space="preserve">ПРОЕКТ</w:t>
      </w:r>
      <w:r>
        <w:rPr>
          <w:b/>
          <w:bCs/>
          <w:highlight w:val="none"/>
          <w:lang w:val="en-US" w:eastAsia="en-US"/>
        </w:rPr>
      </w:r>
      <w:r/>
    </w:p>
    <w:p>
      <w:pPr>
        <w:pStyle w:val="948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r/>
    </w:p>
    <w:p>
      <w:pPr>
        <w:pStyle w:val="948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"ЧЕРНЯНСКИЙ РАЙОН" БЕЛГОРОДСКОЙ ОБЛАСТИ</w:t>
      </w:r>
      <w:r/>
    </w:p>
    <w:p>
      <w:pPr>
        <w:pStyle w:val="916"/>
        <w:jc w:val="center"/>
        <w:shd w:val="clear" w:color="auto" w:fill="ffffff"/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916"/>
        <w:jc w:val="center"/>
        <w:shd w:val="clear" w:color="auto" w:fill="ffffff"/>
      </w:pPr>
      <w:r>
        <w:rPr>
          <w:b/>
        </w:rPr>
        <w:t xml:space="preserve">п. Чернянка</w:t>
      </w:r>
      <w:r/>
    </w:p>
    <w:p>
      <w:pPr>
        <w:pStyle w:val="916"/>
        <w:ind w:left="0" w:right="0" w:hanging="751"/>
        <w:jc w:val="center"/>
        <w:shd w:val="clear" w:color="auto" w:fill="ffffff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16"/>
        <w:shd w:val="clear" w:color="auto" w:fill="ffffff"/>
      </w:pPr>
      <w:r>
        <w:rPr>
          <w:b/>
          <w:sz w:val="28"/>
          <w:szCs w:val="28"/>
        </w:rPr>
        <w:t xml:space="preserve">«_____» ___________2024</w:t>
      </w:r>
      <w:r>
        <w:rPr>
          <w:b/>
          <w:color w:val="000000"/>
          <w:sz w:val="28"/>
          <w:szCs w:val="28"/>
        </w:rPr>
        <w:t xml:space="preserve"> года                                                                   № _____</w:t>
      </w:r>
      <w:r/>
    </w:p>
    <w:p>
      <w:pPr>
        <w:pStyle w:val="916"/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/>
    </w:p>
    <w:p>
      <w:pPr>
        <w:pStyle w:val="916"/>
        <w:jc w:val="center"/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Об утверждении муниципальной программы Чернянского </w:t>
      </w:r>
      <w:r/>
    </w:p>
    <w:p>
      <w:pPr>
        <w:pStyle w:val="916"/>
        <w:jc w:val="center"/>
      </w:pPr>
      <w:r>
        <w:rPr>
          <w:b/>
          <w:sz w:val="28"/>
          <w:szCs w:val="28"/>
        </w:rPr>
        <w:t xml:space="preserve">района «Совершенствование и развитие транспортной системы и дорожной сети Чернянского района»</w:t>
      </w:r>
      <w:r/>
    </w:p>
    <w:p>
      <w:pPr>
        <w:pStyle w:val="916"/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16"/>
        <w:contextualSpacing w:val="0"/>
        <w:jc w:val="both"/>
        <w:spacing w:before="0" w:after="0" w:line="283" w:lineRule="atLeast"/>
        <w:rPr>
          <w:sz w:val="26"/>
          <w:szCs w:val="26"/>
        </w:rPr>
        <w:suppressLineNumbers w:val="0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highlight w:val="white"/>
        </w:rPr>
        <w:t xml:space="preserve">В </w:t>
      </w:r>
      <w:r>
        <w:rPr>
          <w:bCs/>
          <w:sz w:val="26"/>
          <w:szCs w:val="26"/>
          <w:highlight w:val="white"/>
        </w:rPr>
        <w:t xml:space="preserve">целях</w:t>
      </w:r>
      <w:r>
        <w:rPr>
          <w:bCs/>
          <w:sz w:val="26"/>
          <w:szCs w:val="26"/>
          <w:highlight w:val="white"/>
        </w:rPr>
        <w:t xml:space="preserve"> ис</w:t>
      </w:r>
      <w:r>
        <w:rPr>
          <w:bCs/>
          <w:sz w:val="26"/>
          <w:szCs w:val="26"/>
          <w:highlight w:val="none"/>
        </w:rPr>
        <w:t xml:space="preserve">полнения постановления Правительства Российской Федерации от 26 мая 2021 года № 786 «О </w:t>
      </w:r>
      <w:r>
        <w:rPr>
          <w:bCs/>
          <w:sz w:val="26"/>
          <w:szCs w:val="26"/>
          <w:highlight w:val="none"/>
        </w:rPr>
        <w:t xml:space="preserve">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</w:t>
      </w:r>
      <w:r>
        <w:rPr>
          <w:bCs/>
          <w:sz w:val="26"/>
          <w:szCs w:val="26"/>
          <w:highlight w:val="none"/>
        </w:rPr>
        <w:t xml:space="preserve">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области», </w:t>
      </w:r>
      <w:r>
        <w:rPr>
          <w:bCs/>
          <w:sz w:val="26"/>
          <w:szCs w:val="26"/>
          <w:highlight w:val="none"/>
        </w:rPr>
        <w:t xml:space="preserve">                                                 </w:t>
      </w:r>
      <w:r>
        <w:rPr>
          <w:b/>
          <w:bCs/>
          <w:sz w:val="26"/>
          <w:szCs w:val="26"/>
          <w:highlight w:val="none"/>
        </w:rPr>
        <w:t xml:space="preserve">п о с т а н о в л я е т:</w:t>
      </w:r>
      <w:r>
        <w:rPr>
          <w:sz w:val="26"/>
          <w:szCs w:val="26"/>
        </w:rPr>
      </w:r>
      <w:r/>
    </w:p>
    <w:p>
      <w:pPr>
        <w:pStyle w:val="916"/>
        <w:numPr>
          <w:ilvl w:val="0"/>
          <w:numId w:val="15"/>
        </w:num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white"/>
        </w:rPr>
        <w:t xml:space="preserve">Утвердить</w:t>
      </w:r>
      <w:r>
        <w:rPr>
          <w:sz w:val="26"/>
          <w:szCs w:val="26"/>
          <w:highlight w:val="white"/>
        </w:rPr>
        <w:t xml:space="preserve"> муниципальную программу Чернянского района «Совершенствование и развитие транспортной системы и дорожной сети Чернянского района» </w:t>
      </w:r>
      <w:r>
        <w:rPr>
          <w:sz w:val="26"/>
          <w:szCs w:val="26"/>
          <w:highlight w:val="white"/>
        </w:rPr>
        <w:t xml:space="preserve">(далее-Программа, прилагается).</w:t>
      </w:r>
      <w:r>
        <w:rPr>
          <w:sz w:val="26"/>
          <w:szCs w:val="26"/>
        </w:rPr>
      </w:r>
      <w:r/>
    </w:p>
    <w:p>
      <w:pPr>
        <w:pStyle w:val="756"/>
        <w:numPr>
          <w:ilvl w:val="0"/>
          <w:numId w:val="15"/>
        </w:num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yellow"/>
        </w:rPr>
        <w:suppressLineNumbers w:val="0"/>
      </w:pPr>
      <w:r>
        <w:rPr>
          <w:sz w:val="26"/>
          <w:szCs w:val="26"/>
          <w:highlight w:val="none"/>
        </w:rPr>
        <w:t xml:space="preserve">Муниципальному казенному учреждению </w:t>
      </w:r>
      <w:r>
        <w:rPr>
          <w:sz w:val="26"/>
          <w:szCs w:val="26"/>
          <w:highlight w:val="none"/>
        </w:rPr>
        <w:t xml:space="preserve">«Управление строительства, транспорта, связи и ЖКХ» Чернянского района </w:t>
      </w:r>
      <w:r>
        <w:rPr>
          <w:sz w:val="26"/>
          <w:szCs w:val="26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sz w:val="26"/>
          <w:szCs w:val="26"/>
        </w:rPr>
      </w:r>
      <w:r/>
    </w:p>
    <w:p>
      <w:pPr>
        <w:pStyle w:val="916"/>
        <w:contextualSpacing w:val="0"/>
        <w:ind w:left="0" w:right="0" w:firstLine="709"/>
        <w:jc w:val="both"/>
        <w:spacing w:before="0" w:after="0" w:line="283" w:lineRule="atLeast"/>
        <w:rPr>
          <w:b w:val="0"/>
          <w:bCs w:val="0"/>
          <w:sz w:val="26"/>
          <w:szCs w:val="26"/>
        </w:rPr>
        <w:suppressLineNumbers w:val="0"/>
      </w:pPr>
      <w:r>
        <w:rPr>
          <w:sz w:val="26"/>
          <w:szCs w:val="26"/>
          <w:highlight w:val="white"/>
        </w:rPr>
        <w:t xml:space="preserve">3</w:t>
      </w:r>
      <w:r>
        <w:rPr>
          <w:sz w:val="26"/>
          <w:szCs w:val="26"/>
          <w:highlight w:val="white"/>
        </w:rPr>
        <w:t xml:space="preserve">. </w:t>
      </w:r>
      <w:r>
        <w:rPr>
          <w:sz w:val="26"/>
          <w:szCs w:val="26"/>
          <w:highlight w:val="white"/>
        </w:rPr>
        <w:t xml:space="preserve">Признать утратившим силу постановление </w:t>
      </w:r>
      <w:r>
        <w:rPr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от 27 февраля 2024 года  № 113 </w:t>
      </w:r>
      <w:r>
        <w:rPr>
          <w:b w:val="0"/>
          <w:bCs w:val="0"/>
          <w:sz w:val="26"/>
          <w:szCs w:val="26"/>
        </w:rPr>
        <w:t xml:space="preserve">О внесении изменений в постановление администрации муниципального района «Чернянский район» Белгородской области от 31.01.2018 года </w:t>
      </w:r>
      <w:r>
        <w:rPr>
          <w:b w:val="0"/>
          <w:bCs w:val="0"/>
          <w:sz w:val="26"/>
          <w:szCs w:val="26"/>
        </w:rPr>
        <w:t xml:space="preserve">№ </w:t>
      </w:r>
      <w:r>
        <w:rPr>
          <w:b w:val="0"/>
          <w:bCs w:val="0"/>
          <w:sz w:val="26"/>
          <w:szCs w:val="26"/>
        </w:rPr>
        <w:t xml:space="preserve">52 «Об утверждении муниципальной программы Чернянского </w:t>
      </w:r>
      <w:r>
        <w:rPr>
          <w:b w:val="0"/>
          <w:bCs w:val="0"/>
          <w:sz w:val="26"/>
          <w:szCs w:val="26"/>
        </w:rPr>
        <w:t xml:space="preserve">района «Совершенствование и развитие транспортной системы и дорожной сети Чернянского района»</w:t>
      </w:r>
      <w:r>
        <w:rPr>
          <w:b w:val="0"/>
          <w:bCs w:val="0"/>
          <w:sz w:val="26"/>
          <w:szCs w:val="26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white"/>
        </w:rPr>
        <w:suppressLineNumbers w:val="0"/>
      </w:pPr>
      <w:r>
        <w:rPr>
          <w:b w:val="0"/>
          <w:bCs w:val="0"/>
          <w:sz w:val="26"/>
          <w:szCs w:val="26"/>
          <w:highlight w:val="none"/>
        </w:rPr>
        <w:t xml:space="preserve">4.</w:t>
      </w:r>
      <w:r>
        <w:rPr>
          <w:b w:val="0"/>
          <w:bCs w:val="0"/>
          <w:sz w:val="26"/>
          <w:szCs w:val="26"/>
          <w:highlight w:val="non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Управлению организационно-</w:t>
      </w:r>
      <w:r>
        <w:rPr>
          <w:sz w:val="26"/>
          <w:szCs w:val="26"/>
          <w:highlight w:val="white"/>
        </w:rPr>
        <w:t xml:space="preserve">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в сети Интернет (</w:t>
      </w:r>
      <w:r>
        <w:rPr>
          <w:rFonts w:cs="Times New Roman"/>
          <w:sz w:val="26"/>
          <w:szCs w:val="26"/>
          <w:highlight w:val="white"/>
          <w:lang w:val="en-US"/>
        </w:rPr>
        <w:t xml:space="preserve">https://chernyanskijrajon-r31.gosweb.gosuslugi.ru</w:t>
      </w:r>
      <w:r>
        <w:rPr>
          <w:sz w:val="26"/>
          <w:szCs w:val="26"/>
          <w:highlight w:val="white"/>
        </w:rPr>
        <w:t xml:space="preserve">).</w:t>
      </w:r>
      <w:r>
        <w:rPr>
          <w:sz w:val="26"/>
          <w:szCs w:val="26"/>
        </w:rPr>
      </w:r>
      <w:r/>
    </w:p>
    <w:p>
      <w:pPr>
        <w:pStyle w:val="916"/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none"/>
        </w:rPr>
        <w:t xml:space="preserve">5</w:t>
      </w:r>
      <w:r>
        <w:rPr>
          <w:sz w:val="26"/>
          <w:szCs w:val="26"/>
          <w:highlight w:val="white"/>
        </w:rPr>
        <w:t xml:space="preserve">. Контроль за исполнением данного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>
        <w:rPr>
          <w:sz w:val="26"/>
          <w:szCs w:val="26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white"/>
        </w:rPr>
        <w:t xml:space="preserve">Информацию о ходе исполнения постановления представлять ежегодно к 12 апреля начиная с 2026 года, об исполнении – к 12 апреля 2031 года.</w:t>
      </w:r>
      <w:r>
        <w:rPr>
          <w:sz w:val="26"/>
          <w:szCs w:val="26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yellow"/>
        </w:rPr>
        <w:suppressLineNumbers w:val="0"/>
      </w:pPr>
      <w:r>
        <w:rPr>
          <w:sz w:val="26"/>
          <w:szCs w:val="26"/>
          <w:highlight w:val="none"/>
        </w:rPr>
        <w:t xml:space="preserve">6. Настоящее постановление вступает в силу с 1 января 2025 года.</w:t>
      </w:r>
      <w:r>
        <w:rPr>
          <w:sz w:val="26"/>
          <w:szCs w:val="26"/>
        </w:rPr>
      </w:r>
      <w:r/>
    </w:p>
    <w:p>
      <w:pPr>
        <w:contextualSpacing w:val="0"/>
        <w:jc w:val="both"/>
        <w:spacing w:before="0" w:after="0" w:line="283" w:lineRule="atLeast"/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916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Глава администрации</w:t>
      </w:r>
      <w:r/>
    </w:p>
    <w:p>
      <w:pPr>
        <w:pStyle w:val="916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 района</w:t>
        <w:tab/>
        <w:tab/>
        <w:tab/>
        <w:tab/>
        <w:tab/>
        <w:tab/>
        <w:tab/>
        <w:t xml:space="preserve">             Т. П. Круглякова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916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bCs/>
          <w:sz w:val="28"/>
          <w:szCs w:val="28"/>
        </w:rPr>
      </w:r>
      <w:r/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916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к постановлению администрации    </w:t>
      </w:r>
      <w:r/>
    </w:p>
    <w:p>
      <w:pPr>
        <w:pStyle w:val="916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  <w:t xml:space="preserve">муниципального района  </w:t>
      </w:r>
      <w:r/>
    </w:p>
    <w:p>
      <w:pPr>
        <w:pStyle w:val="916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«Чернянский район»</w:t>
      </w:r>
      <w:r/>
    </w:p>
    <w:p>
      <w:pPr>
        <w:pStyle w:val="916"/>
        <w:jc w:val="right"/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740"/>
        <w:spacing w:before="0" w:after="0" w:line="228" w:lineRule="auto"/>
        <w:rPr>
          <w:rFonts w:ascii="Times New Roman" w:hAnsi="Times New Roman" w:cs="Times New Roman"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от «_____» ___________ 2024 г. № ____</w:t>
      </w: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</w:t>
      </w:r>
      <w:r>
        <w:rPr>
          <w:b/>
          <w:bCs/>
          <w:sz w:val="28"/>
          <w:szCs w:val="28"/>
        </w:rPr>
      </w:r>
      <w:r/>
    </w:p>
    <w:p>
      <w:pPr>
        <w:jc w:val="center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</w:rPr>
      </w:r>
      <w:r/>
    </w:p>
    <w:p>
      <w:pPr>
        <w:ind w:left="142"/>
        <w:jc w:val="center"/>
        <w:spacing w:line="276" w:lineRule="auto"/>
        <w:rPr>
          <w:sz w:val="22"/>
          <w:szCs w:val="22"/>
          <w:highlight w:val="none"/>
        </w:rPr>
      </w:pPr>
      <w:r>
        <w:rPr>
          <w:b/>
          <w:bCs/>
          <w:sz w:val="28"/>
          <w:szCs w:val="28"/>
        </w:rPr>
      </w:r>
      <w:r>
        <w:rPr>
          <w:sz w:val="22"/>
          <w:szCs w:val="22"/>
          <w:highlight w:val="none"/>
        </w:rPr>
      </w:r>
      <w:r/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районе </w:t>
      </w:r>
      <w:r>
        <w:rPr>
          <w:b/>
          <w:bCs/>
          <w:sz w:val="28"/>
          <w:szCs w:val="28"/>
        </w:rPr>
      </w:r>
      <w:r/>
    </w:p>
    <w:p>
      <w:pPr>
        <w:jc w:val="center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  <w:outlineLvl w:val="1"/>
      </w:pPr>
      <w:r>
        <w:rPr>
          <w:b/>
          <w:bCs/>
          <w:sz w:val="28"/>
          <w:szCs w:val="28"/>
        </w:rPr>
        <w:t xml:space="preserve">Белгородской области»</w:t>
      </w:r>
      <w:r>
        <w:br/>
        <w:br/>
      </w:r>
      <w:r>
        <w:rPr>
          <w:b/>
          <w:bCs/>
          <w:sz w:val="28"/>
          <w:szCs w:val="28"/>
        </w:rPr>
        <w:t xml:space="preserve">1. Оценка текущего состояния транспортной инфраструктуры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center"/>
        <w:spacing w:line="276" w:lineRule="auto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Транспорт явля</w:t>
      </w:r>
      <w:r>
        <w:rPr>
          <w:sz w:val="26"/>
          <w:szCs w:val="26"/>
        </w:rPr>
        <w:t xml:space="preserve">ется важнейшей составной частью производственной и социальной инфраструктуры Чернянского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 целей.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Транспорт - не только отрасль, перемещающая грузы и людей, это, в первую очередь, межотраслевая логистическая система, </w:t>
      </w:r>
      <w:r>
        <w:rPr>
          <w:sz w:val="26"/>
          <w:szCs w:val="26"/>
        </w:rPr>
        <w:t xml:space="preserve">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На территории  Чернянского района сложилась достаточно плотная автомобильная транспортная сеть. Через Чернянский</w:t>
      </w:r>
      <w:r>
        <w:rPr>
          <w:sz w:val="26"/>
          <w:szCs w:val="26"/>
        </w:rPr>
        <w:t xml:space="preserve"> район проходят автомобильные магистрали «Белгород - Красное», «Белгород - Ростов», «Белгород - Лиски», «Воронеж-Белгород», «Губкин-Валуйки», «Курск-Павловск». По ним осуществляются как местные, так и межрегиональные и международные транспортные перевозки.</w:t>
      </w:r>
      <w:r>
        <w:rPr>
          <w:sz w:val="26"/>
          <w:szCs w:val="26"/>
        </w:rPr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Автомобильный пассажирский транспорт является основным связующим видом транспорта  для Чернянского района.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Все населенные пункты района имеют автобусное сообщение с районным центром, межмуниципальные  автобусные маршруты связывают район с областным центром. С автостанц</w:t>
      </w:r>
      <w:r>
        <w:rPr>
          <w:sz w:val="26"/>
          <w:szCs w:val="26"/>
        </w:rPr>
        <w:t xml:space="preserve">ии п. Чернянка  осуществляется продажа билетов на автобусы в направлении  городов Белгород, Воронеж, Алексеевка, Бирюч, Старый Оскол, Новый Оскол, Валуйки, Курск, Павловск Губкин,  Шебекино, Ростов-на-Дону, Лиски, Елец, Россошь, поселков Ровеньки, Красное.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В то же время состояние транспортного комплекса района нельзя считать оптимальным, а уровень развития транспорта достаточным.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Поэтому важнейшим элементо</w:t>
      </w:r>
      <w:r>
        <w:rPr>
          <w:sz w:val="26"/>
          <w:szCs w:val="26"/>
        </w:rPr>
        <w:t xml:space="preserve">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  <w:r/>
    </w:p>
    <w:p>
      <w:pPr>
        <w:pStyle w:val="916"/>
        <w:jc w:val="both"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Из-за отсутствия дорог с твердым покрытием 14 населенных пунктов района, в которых проживает порядка 984 человек, н</w:t>
      </w:r>
      <w:r>
        <w:rPr>
          <w:sz w:val="26"/>
          <w:szCs w:val="26"/>
        </w:rPr>
        <w:t xml:space="preserve">е имеют круглогодичной транспортной связи с районным центром.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  <w:r/>
    </w:p>
    <w:p>
      <w:pPr>
        <w:pStyle w:val="916"/>
        <w:ind w:left="0" w:right="0" w:firstLine="540"/>
        <w:jc w:val="both"/>
      </w:pPr>
      <w:r>
        <w:rPr>
          <w:sz w:val="26"/>
          <w:szCs w:val="26"/>
        </w:rPr>
        <w:t xml:space="preserve">В связи с неудовлетворительным состоянием и темпами </w:t>
      </w:r>
      <w:r>
        <w:rPr>
          <w:sz w:val="26"/>
          <w:szCs w:val="26"/>
        </w:rPr>
        <w:t xml:space="preserve">развития автомобильных дорог и улично-дорожной сети возникают заторы на автомобильных дорогах,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</w:t>
      </w:r>
      <w:r>
        <w:rPr>
          <w:sz w:val="26"/>
          <w:szCs w:val="26"/>
        </w:rPr>
        <w:t xml:space="preserve"> особенно в зимнее время, влечет загрязнение придорожных территорий химическими веществами, используемыми для борьбы с зимней скользкостью. Таким образом, важнейшей проблемой в развитии транспортной системы Чернянского района является отставание в развитии</w:t>
      </w:r>
      <w:r>
        <w:rPr>
          <w:sz w:val="26"/>
          <w:szCs w:val="26"/>
        </w:rPr>
        <w:t xml:space="preserve">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  <w:r/>
    </w:p>
    <w:p>
      <w:pPr>
        <w:pStyle w:val="916"/>
        <w:ind w:left="0" w:right="0" w:firstLine="540"/>
        <w:jc w:val="center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sz w:val="26"/>
          <w:szCs w:val="26"/>
        </w:rPr>
        <w:t xml:space="preserve">Настоящая муниципальная программа призвана создать необходимые условия для решения основных проблем транспортной системы и дорожной сети Чернянского района и достижения современной и эффективной работы транспортной инфраструктуры.</w:t>
      </w:r>
      <w:r>
        <w:br/>
        <w:br/>
      </w: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2.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  <w:t xml:space="preserve">Описание приоритетов и целей государственной политики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ind w:left="0" w:firstLine="0"/>
        <w:jc w:val="center"/>
        <w:spacing w:line="276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  <w:t xml:space="preserve">в сфере муниципальной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</w:r>
      <w:r/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Приоритеты и цели государственной политики в сфере реализации муниципальной пр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ограммы Чернянского района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Совершенствование и развитие транспортной системы и дорожной сети Чернянского района"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формированы в соответ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ствии с </w:t>
      </w:r>
      <w:hyperlink r:id="rId15" w:tooltip="https://login.consultant.ru/link/?req=doc&amp;base=LAW&amp;n=357927&amp;date=27.08.2024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  <w:highlight w:val="none"/>
          </w:rPr>
          <w:t xml:space="preserve">Указом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 Президента Российской Федерации от 07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мая 2024 г. № 309 «О национальных целях развития Российской Федерации на период до 2030 года и на перспективу до 2036 года», и Единого </w:t>
      </w:r>
      <w:hyperlink r:id="rId16" w:tooltip="https://login.consultant.ru/link/?req=doc&amp;base=LAW&amp;n=398015&amp;date=27.08.2024" w:history="1">
        <w:r>
          <w:rPr>
            <w:rFonts w:ascii="Times New Roman" w:hAnsi="Times New Roman" w:cs="Times New Roman"/>
            <w:sz w:val="26"/>
            <w:szCs w:val="26"/>
            <w:highlight w:val="none"/>
          </w:rPr>
          <w:t xml:space="preserve">плана</w:t>
        </w:r>
      </w:hyperlink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на плановый период до 2030 года,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твержденного распоряжением Правительства Российской Федерации от 1 октября 2021 года N 2765-р, положениями  С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Чернянского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района на период до 2025 года</w:t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  <w:r/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«Комфортная и безопасная среда для жизни»</w:t>
      </w:r>
      <w:r>
        <w:rPr>
          <w:sz w:val="26"/>
          <w:szCs w:val="26"/>
          <w:highlight w:val="none"/>
        </w:rPr>
        <w:t xml:space="preserve">, показатель «Увеличение к 2030 году в агломерациях и городах доли парка общественного транспорта, имеющегося срок эксплуатации не старше </w:t>
      </w:r>
      <w:r>
        <w:rPr>
          <w:sz w:val="26"/>
          <w:szCs w:val="26"/>
          <w:highlight w:val="none"/>
        </w:rPr>
        <w:t xml:space="preserve">нормативного, не менее чем до 85 процентов</w:t>
      </w:r>
      <w:r>
        <w:rPr>
          <w:sz w:val="26"/>
          <w:szCs w:val="26"/>
          <w:highlight w:val="none"/>
        </w:rPr>
        <w:t xml:space="preserve">».  </w:t>
      </w:r>
      <w:r>
        <w:rPr>
          <w:sz w:val="26"/>
          <w:szCs w:val="26"/>
          <w:highlight w:val="none"/>
          <w14:ligatures w14:val="none"/>
        </w:rPr>
      </w:r>
      <w:r/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В ходе реализации муниципальной прог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раммы определена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ключевая цель - обеспечение доли дорожной сети на территории района, соответствующей нормативным требованиям, на уровне не менее 96 процентов к 2030 году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none"/>
          <w14:ligatures w14:val="none"/>
        </w:rPr>
      </w:r>
      <w:r/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  <w:r/>
    </w:p>
    <w:p>
      <w:pPr>
        <w:pStyle w:val="744"/>
        <w:ind w:left="0" w:right="0" w:firstLine="0"/>
        <w:jc w:val="center"/>
        <w:spacing w:before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Сведения о взаимосвязи со стратегическими приоритетами, 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показателями 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и повышении уровня безопасности транспортной инфраструктуры и направлена на выстраивание комфортной системы расселения, что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способствует равномерному развитию муниципальных районов Белгородской области.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ния.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jc w:val="both"/>
        <w:spacing w:after="0" w:line="0" w:lineRule="atLeast"/>
        <w:tabs>
          <w:tab w:val="left" w:pos="0" w:leader="none"/>
        </w:tabs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ab/>
      </w:r>
      <w:r>
        <w:rPr>
          <w:sz w:val="26"/>
          <w:szCs w:val="26"/>
          <w:highlight w:val="none"/>
        </w:rPr>
        <w:t xml:space="preserve">Муниципальная программа имеется связь с </w:t>
      </w:r>
      <w:r>
        <w:rPr>
          <w:sz w:val="26"/>
          <w:szCs w:val="26"/>
          <w:highlight w:val="none"/>
        </w:rPr>
        <w:t xml:space="preserve">государственной программой Белгородской области «Совершенствование и развитие транспортной системы и дорожной сети Белгородской области», показатель - </w:t>
      </w:r>
      <w:r>
        <w:rPr>
          <w:sz w:val="26"/>
          <w:szCs w:val="26"/>
          <w:highlight w:val="none"/>
        </w:rPr>
        <w:t xml:space="preserve">Доля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автомобиль</w:t>
      </w:r>
      <w:r>
        <w:rPr>
          <w:sz w:val="26"/>
          <w:szCs w:val="26"/>
          <w:highlight w:val="none"/>
        </w:rPr>
        <w:t xml:space="preserve">ных</w:t>
      </w:r>
      <w:r>
        <w:rPr>
          <w:sz w:val="26"/>
          <w:szCs w:val="26"/>
          <w:highlight w:val="none"/>
        </w:rPr>
        <w:t xml:space="preserve"> дорог общего пользовани</w:t>
      </w:r>
      <w:r>
        <w:rPr>
          <w:sz w:val="26"/>
          <w:szCs w:val="26"/>
          <w:highlight w:val="none"/>
        </w:rPr>
        <w:t xml:space="preserve">я местного значения с твердым п</w:t>
      </w:r>
      <w:r>
        <w:rPr>
          <w:sz w:val="26"/>
          <w:szCs w:val="26"/>
          <w:highlight w:val="none"/>
        </w:rPr>
        <w:t xml:space="preserve">окрытием </w:t>
      </w:r>
      <w:r>
        <w:rPr>
          <w:sz w:val="26"/>
          <w:szCs w:val="26"/>
          <w:highlight w:val="none"/>
        </w:rPr>
        <w:t xml:space="preserve">в</w:t>
      </w:r>
      <w:r>
        <w:rPr>
          <w:sz w:val="26"/>
          <w:szCs w:val="26"/>
          <w:highlight w:val="none"/>
        </w:rPr>
        <w:t xml:space="preserve"> общей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автодорог </w:t>
      </w:r>
      <w:r>
        <w:rPr>
          <w:sz w:val="26"/>
          <w:szCs w:val="26"/>
          <w:highlight w:val="none"/>
        </w:rPr>
        <w:t xml:space="preserve">соответствующих</w:t>
      </w:r>
      <w:r>
        <w:rPr>
          <w:sz w:val="26"/>
          <w:szCs w:val="26"/>
          <w:highlight w:val="none"/>
        </w:rPr>
        <w:t xml:space="preserve"> норматив</w:t>
      </w:r>
      <w:r>
        <w:rPr>
          <w:sz w:val="26"/>
          <w:szCs w:val="26"/>
          <w:highlight w:val="none"/>
        </w:rPr>
        <w:t xml:space="preserve">ным</w:t>
      </w:r>
      <w:r>
        <w:rPr>
          <w:sz w:val="26"/>
          <w:szCs w:val="26"/>
          <w:highlight w:val="none"/>
        </w:rPr>
        <w:t xml:space="preserve"> требованиям, </w:t>
      </w:r>
      <w:r>
        <w:rPr>
          <w:sz w:val="26"/>
          <w:szCs w:val="26"/>
          <w:highlight w:val="none"/>
        </w:rPr>
        <w:t xml:space="preserve">пассажирооборот автомобильным и железнодорожным (в пригородном сообщении) транспортом.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r>
      <w:r/>
    </w:p>
    <w:p>
      <w:pPr>
        <w:ind w:left="0" w:right="0" w:firstLine="0"/>
        <w:jc w:val="center"/>
        <w:spacing w:before="0" w:after="0"/>
        <w:rPr>
          <w:rFonts w:ascii="Arial" w:hAnsi="Arial" w:eastAsia="Arial" w:cs="Arial"/>
          <w:color w:val="444444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Arial" w:hAnsi="Arial" w:eastAsia="Arial" w:cs="Arial"/>
          <w:color w:val="444444"/>
          <w:sz w:val="24"/>
          <w:szCs w:val="24"/>
        </w:rPr>
      </w:r>
      <w:r/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4</w:t>
      </w: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/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Мероприятия муниципальной программы направлены на решение основных задач, установленные в структурных элементах: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охранность сети автодорог местного значения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Создание условий для населения, посредством организации транспортного обслуживания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Для достижения поставленных задач, в ходе реализации муниципальной программы, будут реализовываться комплексы процесс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ных мероприятий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 и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Создание условий для организации транспортного обслуживания населения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 способом выполнения являются мероприятия (результат) направленные на достижение не только задач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а также и показателей структурных элементов.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/>
    </w:p>
    <w:p>
      <w:pPr>
        <w:ind w:left="425" w:right="0" w:firstLine="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Мероприятия муниципальной программы направлены на достижение показателей: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доля автомобильных дорог общего пользования местного значения, соответствующих нормативным требованиям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на уровне не менее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96%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ассажирооборот автомобильным транспортом в пригородном сообщении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11,72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млн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пасс.км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/>
    </w:p>
    <w:p>
      <w:pPr>
        <w:pStyle w:val="756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Достижение показателей приведет к формированию единой опорной дорожной сети, развитию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ремонту и ремонту,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содержания, а также приведение в нормативное состояние местной сети дорог.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риведение в нормативное состояние автомобильных дорог местного значения, искусственных сооружений на них,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строительство (реконструкция), капитальный ремонт и ремонт автомобильных дорог общего пользования на сельских территориях,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регионального или межмуниципального значения и искусственных дорожных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ооружений на них.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/>
        </w:rPr>
      </w:r>
      <w:r/>
    </w:p>
    <w:p>
      <w:pPr>
        <w:ind w:left="0" w:right="0" w:firstLine="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134" w:right="567" w:bottom="255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/>
    </w:p>
    <w:tbl>
      <w:tblPr>
        <w:tblW w:w="515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697"/>
      </w:tblGrid>
      <w:tr>
        <w:trPr>
          <w:trHeight w:val="7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pStyle w:val="899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Морозов Сергей Анатольевич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деятельности.</w:t>
            </w:r>
            <w:r>
              <w:rPr>
                <w:rFonts w:cs="Times New Roman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атышев С.А. – 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240454,6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1026,6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239428,0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 </w:t>
            </w:r>
            <w:r>
              <w:rPr>
                <w:sz w:val="22"/>
                <w:szCs w:val="22"/>
                <w:highlight w:val="none"/>
              </w:rPr>
              <w:t xml:space="preserve">внебюджетные источники</w:t>
            </w:r>
            <w:r>
              <w:rPr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/>
          </w:p>
          <w:p>
            <w:pPr>
              <w:pStyle w:val="945"/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 района до 2025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– «Повышение качества условий жизнедеятельности населения»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r>
            <w:r/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W w:w="516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489"/>
        <w:gridCol w:w="850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992"/>
        <w:gridCol w:w="1417"/>
        <w:gridCol w:w="1704"/>
        <w:gridCol w:w="1554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21" w:type="dxa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89" w:type="dxa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0" w:firstLine="0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94,96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2023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95,1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Приказ Министерства транспорта Российской Федерации от 30 июля 2021 года № 155</w:t>
            </w:r>
            <w:r>
              <w:rPr>
                <w:color w:val="auto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textDirection w:val="lrTb"/>
            <w:noWrap w:val="false"/>
          </w:tcPr>
          <w:p>
            <w:pPr>
              <w:pStyle w:val="945"/>
              <w:ind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цель </w:t>
            </w:r>
            <w:r>
              <w:rPr>
                <w:sz w:val="22"/>
                <w:szCs w:val="22"/>
              </w:rPr>
              <w:t xml:space="preserve">«Комфортная и безопасная среда для жизни»</w:t>
            </w:r>
            <w:r>
              <w:rPr>
                <w:sz w:val="22"/>
                <w:szCs w:val="22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Доля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автомобиль-</w:t>
            </w:r>
            <w:r>
              <w:rPr>
                <w:sz w:val="22"/>
                <w:szCs w:val="22"/>
              </w:rPr>
              <w:t xml:space="preserve">ных</w:t>
            </w:r>
            <w:r>
              <w:rPr>
                <w:sz w:val="22"/>
                <w:szCs w:val="22"/>
              </w:rPr>
              <w:t xml:space="preserve"> дорог общего пользования местного значения с твердым покрытием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общей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автодорог </w:t>
            </w:r>
            <w:r>
              <w:rPr>
                <w:sz w:val="22"/>
                <w:szCs w:val="22"/>
              </w:rPr>
              <w:t xml:space="preserve">соответствующих</w:t>
            </w:r>
            <w:r>
              <w:rPr>
                <w:sz w:val="22"/>
                <w:szCs w:val="22"/>
              </w:rPr>
              <w:t xml:space="preserve"> норматив-</w:t>
            </w:r>
            <w:r>
              <w:rPr>
                <w:sz w:val="22"/>
                <w:szCs w:val="22"/>
              </w:rPr>
              <w:t xml:space="preserve">ным</w:t>
            </w:r>
            <w:r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89" w:type="dxa"/>
            <w:vMerge w:val="restart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Постановление Правительства Белгородской области  от 13 февраля 2023 года № 74-пп</w:t>
            </w:r>
            <w:r>
              <w:rPr>
                <w:color w:val="auto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</w:t>
            </w:r>
            <w:r>
              <w:rPr>
                <w:sz w:val="22"/>
                <w:szCs w:val="22"/>
              </w:rPr>
              <w:t xml:space="preserve">/ Пассажирооборот автомобильным и железнодорожным (в пригородном сообщении) транспортом 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п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лан достижения показателей муниципальной программы в 2025 году</w:t>
      </w:r>
      <w:r>
        <w:rPr>
          <w:rFonts w:ascii="Times New Roman" w:hAnsi="Times New Roman" w:cs="Times New Roman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14:ligatures w14:val="none"/>
        </w:rPr>
      </w:r>
      <w:r/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2025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 РФ, ГП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471" w:type="pc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95,1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83"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471" w:type="pct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Style w:val="940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4941"/>
        <w:gridCol w:w="5403"/>
        <w:gridCol w:w="4000"/>
      </w:tblGrid>
      <w:tr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 реализацию: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val="en-US" w:eastAsia="ru-RU"/>
              </w:rPr>
              <w:t xml:space="preserve">Задача 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Выполнены мероприятия по содержанию, ремонту автомобильных дорог общего пользования на территории муниципального района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оля 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втомобильных дорог общего пользования местного значения, соответс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твующих нормативным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требованиям</w:t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ий 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pStyle w:val="945"/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 за реали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r>
            <w:r/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2.1.1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pStyle w:val="945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ча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16"/>
                <w:szCs w:val="16"/>
                <w14:ligatures w14:val="none"/>
              </w:rPr>
            </w:r>
            <w:r/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pStyle w:val="945"/>
              <w:jc w:val="both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 комплекс мероприятий по организации транспортного обслуживания населения автомобильным. общественным транспортом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pStyle w:val="945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  <w:r/>
    </w:p>
    <w:tbl>
      <w:tblPr>
        <w:tblStyle w:val="94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/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35937,1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35837,1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240454,6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35766,0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35666,0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239428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0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(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lang w:eastAsia="ru-RU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lang w:eastAsia="ru-RU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97596,6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(далее – комплекс процессных мероприятий - 1)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Style w:val="94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исполнительной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района</w:t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/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45"/>
              <w:jc w:val="both"/>
            </w:pPr>
            <w: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/>
          </w:p>
          <w:p>
            <w:pPr>
              <w:pStyle w:val="94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4"/>
                <w:szCs w:val="24"/>
              </w:rPr>
            </w:r>
            <w:r/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945"/>
              <w:jc w:val="both"/>
            </w:pPr>
            <w:r>
              <w:t xml:space="preserve">Муниципальная </w:t>
            </w:r>
            <w:r>
              <w:t xml:space="preserve"> программа Чернянского</w:t>
            </w:r>
            <w:r>
              <w:t xml:space="preserve"> района</w:t>
            </w:r>
            <w:r>
              <w:t xml:space="preserve"> "Совершенствование и развитие транс</w:t>
            </w:r>
            <w:r>
              <w:t xml:space="preserve">портной системы и дорожной сети</w:t>
            </w:r>
            <w:r>
              <w:t xml:space="preserve">"</w:t>
            </w:r>
            <w:r/>
          </w:p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/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2"/>
        <w:gridCol w:w="1"/>
        <w:gridCol w:w="906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377"/>
        </w:trPr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14"/>
            <w:shd w:val="clear" w:color="ffffff" w:fill="ffffff"/>
            <w:tcW w:w="14182" w:type="dxa"/>
            <w:textDirection w:val="lrTb"/>
            <w:noWrap w:val="false"/>
          </w:tcPr>
          <w:p>
            <w:pP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04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09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КПМ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Км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4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gridSpan w:val="2"/>
            <w:shd w:val="clear" w:color="ffffff" w:fill="ffffff"/>
            <w:tcW w:w="907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Р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1097" w:type="dxa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КМП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12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Км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84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6,2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gridSpan w:val="2"/>
            <w:shd w:val="clear" w:color="ffffff" w:fill="ffffff"/>
            <w:tcW w:w="90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2024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0,5</w:t>
            </w:r>
            <w:r>
              <w:rPr>
                <w:highlight w:val="yellow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2,6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2,7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2,8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</w:r>
            <w:r>
              <w:rPr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16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jc w:val="left"/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2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b/>
                <w:bCs/>
                <w:sz w:val="22"/>
                <w:szCs w:val="22"/>
              </w:rPr>
              <w:t xml:space="preserve">О</w:t>
            </w:r>
            <w:r>
              <w:rPr>
                <w:b/>
                <w:bCs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КМП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Км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1,5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772"/>
        <w:tblW w:w="15320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296"/>
        <w:gridCol w:w="1984"/>
        <w:gridCol w:w="1409"/>
        <w:gridCol w:w="992"/>
        <w:gridCol w:w="992"/>
        <w:gridCol w:w="850"/>
        <w:gridCol w:w="992"/>
        <w:gridCol w:w="850"/>
        <w:gridCol w:w="709"/>
        <w:gridCol w:w="850"/>
        <w:gridCol w:w="710"/>
        <w:gridCol w:w="1993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9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товаров, выполнение работ, оказание услуг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top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 комплекс дорожных работ по содержанию и ремонту автодорог местного значения по обеспечению безопасности дорожного движения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3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1.2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Приобретение товаров, выполнение работ, оказание услуг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6,2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2024</w:t>
            </w:r>
            <w:r>
              <w:rPr>
                <w:i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1,5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2,6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2,7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2,8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1.2.1.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Произведены дорожные работы по восстановлению транспортно-эксплуатационных характеристик автодорог местного значения, а также капитальный ремонт и устройство асфальтного дорожного полотна дворовых территорий многоквартирных домов.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tbl>
      <w:tblPr>
        <w:tblStyle w:val="94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/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689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0440122140; 0440172140</w:t>
            </w:r>
            <w:r>
              <w:rPr>
                <w:rFonts w:cs="Times New Roman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Style w:val="77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942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20.03.2025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1.2.1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16.02.2026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20.03.2026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1.2.К.4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Выполнены работы по содержанию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16.02.2027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10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20.03.2027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1.3.К.4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организации транспортного обслуживания населения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14:ligatures w14:val="none"/>
        </w:rPr>
        <w:t xml:space="preserve"> </w:t>
      </w:r>
      <w:r>
        <w:rPr>
          <w:b/>
          <w:bCs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b/>
          <w:bCs/>
          <w14:ligatures w14:val="none"/>
        </w:rPr>
        <w:t xml:space="preserve">(далее – комплекс процессных мероприятий 2)</w:t>
      </w:r>
      <w:r>
        <w:rPr>
          <w:b/>
          <w:bCs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Style w:val="94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исполнительной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района</w:t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/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/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/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4"/>
                <w:szCs w:val="24"/>
              </w:rPr>
            </w:r>
            <w:r/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cs="Times New Roman"/>
                <w:sz w:val="24"/>
                <w:szCs w:val="24"/>
              </w:rPr>
              <w:t xml:space="preserve"> программа Чернянского</w:t>
            </w:r>
            <w:r>
              <w:rPr>
                <w:rFonts w:cs="Times New Roman"/>
                <w:sz w:val="24"/>
                <w:szCs w:val="24"/>
              </w:rPr>
              <w:t xml:space="preserve"> района</w:t>
            </w:r>
            <w:r>
              <w:rPr>
                <w:rFonts w:cs="Times New Roman"/>
                <w:sz w:val="24"/>
                <w:szCs w:val="24"/>
              </w:rPr>
              <w:t xml:space="preserve"> "Совершенствование и развитие транс</w:t>
            </w:r>
            <w:r>
              <w:rPr>
                <w:rFonts w:cs="Times New Roman"/>
                <w:sz w:val="24"/>
                <w:szCs w:val="24"/>
              </w:rPr>
              <w:t xml:space="preserve">портной системы и дорожной сети</w:t>
            </w:r>
            <w:r>
              <w:rPr>
                <w:rFonts w:cs="Times New Roman"/>
                <w:sz w:val="24"/>
                <w:szCs w:val="24"/>
              </w:rPr>
              <w:t xml:space="preserve">"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/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:lang w:eastAsia="ru-RU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/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3"/>
        <w:gridCol w:w="906"/>
        <w:gridCol w:w="625"/>
        <w:gridCol w:w="749"/>
        <w:gridCol w:w="874"/>
        <w:gridCol w:w="874"/>
        <w:gridCol w:w="874"/>
        <w:gridCol w:w="874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2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33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pStyle w:val="945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/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045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097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КМП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/>
          </w:p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11,71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</w:rPr>
              <w:t xml:space="preserve">72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  <w:t xml:space="preserve">Группа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pStyle w:val="945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77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022"/>
        <w:gridCol w:w="1701"/>
        <w:gridCol w:w="1417"/>
        <w:gridCol w:w="992"/>
        <w:gridCol w:w="992"/>
        <w:gridCol w:w="992"/>
        <w:gridCol w:w="992"/>
        <w:gridCol w:w="1276"/>
        <w:gridCol w:w="1134"/>
        <w:gridCol w:w="850"/>
        <w:gridCol w:w="709"/>
        <w:gridCol w:w="161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0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1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textDirection w:val="lrTb"/>
            <w:noWrap w:val="false"/>
          </w:tcPr>
          <w:p>
            <w:pPr>
              <w:pStyle w:val="945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Маршруты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Предоставлено финансовое обеспечение (субвенция) на организацию транспортного обслуживания в муниципальном районе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1.2.1.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ия.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Порядок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утвержден постановлением администрации муниципального района «Чернянский район» Белгоро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дской области от 15 ию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ля 2020 года                       № 385 «Об утверждении административного регламента предоставления муниципальной услуги «Предоставление права льготного проезда студентам и аспирантам очной формы обучения, студентам с ограниченными возможностями здоровья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и инвалидностью очно-заочной формы обучения образовательных организаций высшего образования и профессиональных образовательных организаций в городском или пригородном сообщении на территории муниципального района «Чернянский район» Белгородской области» и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приведен в приложении № 2 к муниципальной программе.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В данном мероприятие отражается количество образовательных организаций.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Приобретение товаров, работ, услуг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1.3.1.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Предоставлено финансирование на приобретение подвижного состава пассажирского транспорта общего пользования.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1.4.1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Предоставление субсидии на компенсация потерь в доходах перевозчикам,предоставляющий льготный проезд отдельным категориям граждан услугами общественного транспор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та.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Порядок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утвержден постановлением администрации муниципального района «Чернянский район» Белгоро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дской области от 15 июля 2020 года № 385 «Об утверждении административного регламента предоставления муниципальной услуги «Предоставление права льготного проезда студентам и аспирантам очной формы обучения, студентам с ограниченными возможностями здоровья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и инвалидностью очно-заочной формы обучения образовательных организаций высшего образования и профессиональных образовательных организаций в городском или пригородном сообщении на территории муниципального района «Чернянский район» Белгородской области» и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приведен в приложении               № 2 к муниципальной программе.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Тарифы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1.5.1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Освоение субвенция на исполнение полномочий органами местного самоуправления регулируемых тарифов на перевозки по муниципальным маршрутам регулярных перевозок.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/>
    </w:p>
    <w:tbl>
      <w:tblPr>
        <w:tblStyle w:val="94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/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97596,6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96570,0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275,4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96150,0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702,6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«Приобретение подвижного состава пассажирского транспорта общего пользования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0440223840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«Обеспечение равной доступности услуг общественного транспорта для отдельных категорий граждан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0440273820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/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в текущем 2025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Style w:val="77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942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pStyle w:val="945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1.4.4.К.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2025 года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2026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30.12.2026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/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/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2027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rPr>
          <w:trHeight w:val="1382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 № 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1 к муниципальной программе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</w:t>
            </w:r>
            <w:r>
              <w:rPr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»</w:t>
            </w:r>
            <w:r>
              <w:rPr>
                <w:sz w:val="22"/>
                <w:szCs w:val="22"/>
                <w:highlight w:val="whit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  <w:r/>
          </w:p>
          <w:p>
            <w:pPr>
              <w:pStyle w:val="93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Cs w:val="28"/>
          <w:highlight w:val="none"/>
        </w:rPr>
      </w:r>
      <w:r>
        <w:rPr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«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Совершенствование и развитие транспортной системы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»</w:t>
      </w:r>
      <w:r>
        <w:rPr>
          <w:sz w:val="22"/>
          <w:szCs w:val="22"/>
        </w:rPr>
      </w:r>
      <w:r/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/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/>
    </w:p>
    <w:tbl>
      <w:tblPr>
        <w:tblStyle w:val="77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334"/>
        <w:gridCol w:w="1356"/>
        <w:gridCol w:w="1701"/>
        <w:gridCol w:w="2835"/>
        <w:gridCol w:w="1928"/>
        <w:gridCol w:w="2182"/>
        <w:gridCol w:w="1525"/>
      </w:tblGrid>
      <w:tr>
        <w:trPr>
          <w:trHeight w:val="102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№ п/п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Наименование показателя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356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Единица измерения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(по ОКЕИ)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Временные характеристики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92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Метод сбора информации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18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Ответственный за сбор данных по показателю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Срок предоставле-ния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356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5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92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6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18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7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8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pStyle w:val="9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%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/>
                <w:bCs/>
                <w:sz w:val="22"/>
                <w:szCs w:val="22"/>
              </w:rPr>
              <w:t xml:space="preserve">Давт = Пн/Побщ*100%</w:t>
            </w:r>
            <w:r>
              <w:rPr>
                <w:b/>
                <w:bCs/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Давт</w:t>
            </w:r>
            <w:r>
              <w:rPr>
                <w:b w:val="0"/>
                <w:bCs w:val="0"/>
                <w:sz w:val="22"/>
                <w:szCs w:val="22"/>
              </w:rPr>
              <w:t xml:space="preserve">- доля автодорог, %;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Пн</w:t>
            </w:r>
            <w:r>
              <w:rPr>
                <w:b w:val="0"/>
                <w:bCs w:val="0"/>
                <w:sz w:val="22"/>
                <w:szCs w:val="22"/>
              </w:rPr>
              <w:t xml:space="preserve">- протяженность автодорог, </w:t>
            </w:r>
            <w:r>
              <w:rPr>
                <w:b w:val="0"/>
                <w:bCs w:val="0"/>
                <w:sz w:val="22"/>
                <w:szCs w:val="22"/>
              </w:rPr>
              <w:t xml:space="preserve">отвечающих нормативным требованиям</w:t>
            </w:r>
            <w:r>
              <w:rPr>
                <w:b w:val="0"/>
                <w:bCs w:val="0"/>
                <w:sz w:val="22"/>
                <w:szCs w:val="22"/>
              </w:rPr>
              <w:t xml:space="preserve">, км;   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Побщ</w:t>
            </w:r>
            <w:r>
              <w:rPr>
                <w:b w:val="0"/>
                <w:bCs w:val="0"/>
                <w:sz w:val="22"/>
                <w:szCs w:val="22"/>
              </w:rPr>
              <w:t xml:space="preserve"> – общая протяженность автодорог, 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pStyle w:val="9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rStyle w:val="949"/>
                <w:b w:val="0"/>
                <w:bCs w:val="0"/>
                <w:sz w:val="22"/>
                <w:szCs w:val="22"/>
              </w:rPr>
              <w:t xml:space="preserve">пасс. км.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/>
                <w:bCs/>
                <w:sz w:val="22"/>
                <w:szCs w:val="22"/>
              </w:rPr>
              <w:t xml:space="preserve">ПОф = 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N</w:t>
            </w:r>
            <w:r>
              <w:rPr>
                <w:b/>
                <w:bCs/>
                <w:sz w:val="22"/>
                <w:szCs w:val="22"/>
              </w:rPr>
              <w:t xml:space="preserve">пасс*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L</w:t>
            </w:r>
            <w:r>
              <w:rPr>
                <w:b/>
                <w:bCs/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ПОф</w:t>
            </w:r>
            <w:r>
              <w:rPr>
                <w:b w:val="0"/>
                <w:bCs w:val="0"/>
                <w:sz w:val="22"/>
                <w:szCs w:val="22"/>
              </w:rPr>
              <w:t xml:space="preserve"> – пассажирооборот фактический, пасс.км;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  <w:lang w:val="en-US"/>
              </w:rPr>
              <w:t xml:space="preserve">N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пасс</w:t>
            </w:r>
            <w:r>
              <w:rPr>
                <w:b w:val="0"/>
                <w:bCs w:val="0"/>
                <w:sz w:val="22"/>
                <w:szCs w:val="22"/>
              </w:rPr>
              <w:t xml:space="preserve"> – количество перевезенных пассажиров, человек;        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  <w:lang w:val="en-US"/>
              </w:rPr>
              <w:t xml:space="preserve">L</w:t>
            </w:r>
            <w:r>
              <w:rPr>
                <w:b w:val="0"/>
                <w:bCs w:val="0"/>
                <w:sz w:val="22"/>
                <w:szCs w:val="22"/>
              </w:rPr>
              <w:t xml:space="preserve">- протяженность пути, 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Итоговая информация транспортного предприятия, осуществляющего пассажирские перевозки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  <w14:ligatures w14:val="none"/>
              </w:rPr>
            </w:r>
            <w:r/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 = ΣП1р+П2р+….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где: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Пр</w:t>
            </w:r>
            <w:r>
              <w:rPr>
                <w:sz w:val="22"/>
                <w:szCs w:val="22"/>
              </w:rPr>
              <w:t xml:space="preserve"> – протяженность отремонтированных дорог, км;          </w:t>
            </w:r>
            <w:r>
              <w:rPr>
                <w:sz w:val="22"/>
                <w:szCs w:val="22"/>
              </w:rPr>
            </w:r>
            <w:r/>
          </w:p>
          <w:p>
            <w:pPr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b/>
                <w:sz w:val="22"/>
                <w:szCs w:val="22"/>
                <w:u w:val="single"/>
              </w:rPr>
              <w:t xml:space="preserve">П1р, П2р</w:t>
            </w:r>
            <w:r>
              <w:rPr>
                <w:sz w:val="22"/>
                <w:szCs w:val="22"/>
              </w:rPr>
              <w:t xml:space="preserve"> – протяженность ремонта каждой дороги, км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highlight w:val="none"/>
              </w:rPr>
            </w:r>
            <w:r/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/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Пм = ΣП1м+П2м+….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где: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916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Пм</w:t>
            </w:r>
            <w:r>
              <w:rPr>
                <w:sz w:val="22"/>
                <w:szCs w:val="22"/>
              </w:rPr>
              <w:t xml:space="preserve"> – протяженность УДС подлежащих капремонту и  в микрорайонах многоквартирных домов, км;                            </w:t>
            </w:r>
            <w:r>
              <w:rPr>
                <w:sz w:val="22"/>
                <w:szCs w:val="22"/>
              </w:rPr>
            </w:r>
            <w:r/>
          </w:p>
          <w:p>
            <w:pPr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t xml:space="preserve">П1м, П2м</w:t>
            </w:r>
            <w:r>
              <w:rPr>
                <w:sz w:val="22"/>
                <w:szCs w:val="22"/>
              </w:rPr>
              <w:t xml:space="preserve">, … - протяженность УДС в  микрорайонах многоквартирных домов, км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highlight w:val="none"/>
              </w:rPr>
            </w:r>
            <w:r/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highlight w:val="none"/>
              </w:rPr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  <w:rPr>
        <w:highlight w:val="white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6"/>
    <w:next w:val="916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6"/>
    <w:next w:val="916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6"/>
    <w:next w:val="916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6"/>
    <w:next w:val="916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6"/>
    <w:next w:val="916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6"/>
    <w:next w:val="916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6"/>
    <w:next w:val="916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6"/>
    <w:next w:val="916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6"/>
    <w:next w:val="916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List Paragraph"/>
    <w:basedOn w:val="916"/>
    <w:uiPriority w:val="34"/>
    <w:qFormat/>
    <w:pPr>
      <w:contextualSpacing/>
      <w:ind w:left="720"/>
    </w:pPr>
  </w:style>
  <w:style w:type="paragraph" w:styleId="757">
    <w:name w:val="No Spacing"/>
    <w:uiPriority w:val="1"/>
    <w:qFormat/>
    <w:pPr>
      <w:spacing w:before="0" w:after="0" w:line="240" w:lineRule="auto"/>
    </w:pPr>
  </w:style>
  <w:style w:type="paragraph" w:styleId="758">
    <w:name w:val="Title"/>
    <w:basedOn w:val="916"/>
    <w:next w:val="916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Title Char"/>
    <w:link w:val="758"/>
    <w:uiPriority w:val="10"/>
    <w:rPr>
      <w:sz w:val="48"/>
      <w:szCs w:val="48"/>
    </w:rPr>
  </w:style>
  <w:style w:type="paragraph" w:styleId="760">
    <w:name w:val="Subtitle"/>
    <w:basedOn w:val="916"/>
    <w:next w:val="916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Subtitle Char"/>
    <w:link w:val="760"/>
    <w:uiPriority w:val="11"/>
    <w:rPr>
      <w:sz w:val="24"/>
      <w:szCs w:val="24"/>
    </w:rPr>
  </w:style>
  <w:style w:type="paragraph" w:styleId="762">
    <w:name w:val="Quote"/>
    <w:basedOn w:val="916"/>
    <w:next w:val="916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6"/>
    <w:next w:val="916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paragraph" w:styleId="766">
    <w:name w:val="Header"/>
    <w:basedOn w:val="916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7">
    <w:name w:val="Header Char"/>
    <w:link w:val="766"/>
    <w:uiPriority w:val="99"/>
  </w:style>
  <w:style w:type="paragraph" w:styleId="768">
    <w:name w:val="Footer"/>
    <w:basedOn w:val="916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9">
    <w:name w:val="Footer Char"/>
    <w:link w:val="768"/>
    <w:uiPriority w:val="99"/>
  </w:style>
  <w:style w:type="paragraph" w:styleId="770">
    <w:name w:val="Caption"/>
    <w:basedOn w:val="916"/>
    <w:next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768"/>
    <w:uiPriority w:val="99"/>
  </w:style>
  <w:style w:type="table" w:styleId="7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8">
    <w:name w:val="Hyperlink"/>
    <w:uiPriority w:val="99"/>
    <w:unhideWhenUsed/>
    <w:rPr>
      <w:color w:val="0000ff" w:themeColor="hyperlink"/>
      <w:u w:val="single"/>
    </w:rPr>
  </w:style>
  <w:style w:type="paragraph" w:styleId="899">
    <w:name w:val="footnote text"/>
    <w:basedOn w:val="916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Footnote Text Char"/>
    <w:link w:val="899"/>
    <w:uiPriority w:val="99"/>
    <w:rPr>
      <w:sz w:val="18"/>
    </w:rPr>
  </w:style>
  <w:style w:type="character" w:styleId="901">
    <w:name w:val="footnote reference"/>
    <w:uiPriority w:val="99"/>
    <w:unhideWhenUsed/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Endnote Text Char"/>
    <w:link w:val="902"/>
    <w:uiPriority w:val="99"/>
    <w:rPr>
      <w:sz w:val="20"/>
    </w:rPr>
  </w:style>
  <w:style w:type="character" w:styleId="904">
    <w:name w:val="endnote reference"/>
    <w:uiPriority w:val="99"/>
    <w:semiHidden/>
    <w:unhideWhenUsed/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ind w:left="0" w:right="0" w:firstLine="0"/>
      <w:spacing w:after="57"/>
    </w:pPr>
  </w:style>
  <w:style w:type="paragraph" w:styleId="906">
    <w:name w:val="toc 2"/>
    <w:basedOn w:val="916"/>
    <w:next w:val="916"/>
    <w:uiPriority w:val="39"/>
    <w:unhideWhenUsed/>
    <w:pPr>
      <w:ind w:left="283" w:right="0" w:firstLine="0"/>
      <w:spacing w:after="57"/>
    </w:pPr>
  </w:style>
  <w:style w:type="paragraph" w:styleId="907">
    <w:name w:val="toc 3"/>
    <w:basedOn w:val="916"/>
    <w:next w:val="916"/>
    <w:uiPriority w:val="39"/>
    <w:unhideWhenUsed/>
    <w:pPr>
      <w:ind w:left="567" w:right="0" w:firstLine="0"/>
      <w:spacing w:after="57"/>
    </w:pPr>
  </w:style>
  <w:style w:type="paragraph" w:styleId="908">
    <w:name w:val="toc 4"/>
    <w:basedOn w:val="916"/>
    <w:next w:val="916"/>
    <w:uiPriority w:val="39"/>
    <w:unhideWhenUsed/>
    <w:pPr>
      <w:ind w:left="850" w:right="0" w:firstLine="0"/>
      <w:spacing w:after="57"/>
    </w:pPr>
  </w:style>
  <w:style w:type="paragraph" w:styleId="909">
    <w:name w:val="toc 5"/>
    <w:basedOn w:val="916"/>
    <w:next w:val="916"/>
    <w:uiPriority w:val="39"/>
    <w:unhideWhenUsed/>
    <w:pPr>
      <w:ind w:left="1134" w:right="0" w:firstLine="0"/>
      <w:spacing w:after="57"/>
    </w:pPr>
  </w:style>
  <w:style w:type="paragraph" w:styleId="910">
    <w:name w:val="toc 6"/>
    <w:basedOn w:val="916"/>
    <w:next w:val="916"/>
    <w:uiPriority w:val="39"/>
    <w:unhideWhenUsed/>
    <w:pPr>
      <w:ind w:left="1417" w:right="0" w:firstLine="0"/>
      <w:spacing w:after="57"/>
    </w:pPr>
  </w:style>
  <w:style w:type="paragraph" w:styleId="911">
    <w:name w:val="toc 7"/>
    <w:basedOn w:val="916"/>
    <w:next w:val="916"/>
    <w:uiPriority w:val="39"/>
    <w:unhideWhenUsed/>
    <w:pPr>
      <w:ind w:left="1701" w:right="0" w:firstLine="0"/>
      <w:spacing w:after="57"/>
    </w:pPr>
  </w:style>
  <w:style w:type="paragraph" w:styleId="912">
    <w:name w:val="toc 8"/>
    <w:basedOn w:val="916"/>
    <w:next w:val="916"/>
    <w:uiPriority w:val="39"/>
    <w:unhideWhenUsed/>
    <w:pPr>
      <w:ind w:left="1984" w:right="0" w:firstLine="0"/>
      <w:spacing w:after="57"/>
    </w:pPr>
  </w:style>
  <w:style w:type="paragraph" w:styleId="913">
    <w:name w:val="toc 9"/>
    <w:basedOn w:val="916"/>
    <w:next w:val="916"/>
    <w:uiPriority w:val="39"/>
    <w:unhideWhenUsed/>
    <w:pPr>
      <w:ind w:left="2268" w:right="0" w:firstLine="0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916"/>
    <w:next w:val="916"/>
    <w:uiPriority w:val="99"/>
    <w:unhideWhenUsed/>
    <w:pPr>
      <w:spacing w:after="0" w:afterAutospacing="0"/>
    </w:pPr>
  </w:style>
  <w:style w:type="paragraph" w:styleId="916" w:default="1">
    <w:name w:val="Normal"/>
    <w:next w:val="916"/>
    <w:link w:val="916"/>
    <w:rPr>
      <w:sz w:val="28"/>
      <w:lang w:val="ru-RU" w:eastAsia="ru-RU" w:bidi="ar-SA"/>
    </w:rPr>
  </w:style>
  <w:style w:type="paragraph" w:styleId="917">
    <w:name w:val="Заголовок 1"/>
    <w:basedOn w:val="916"/>
    <w:next w:val="916"/>
    <w:link w:val="916"/>
    <w:pPr>
      <w:jc w:val="center"/>
      <w:keepNext/>
      <w:outlineLvl w:val="0"/>
    </w:pPr>
    <w:rPr>
      <w:sz w:val="36"/>
    </w:rPr>
  </w:style>
  <w:style w:type="paragraph" w:styleId="918">
    <w:name w:val="Заголовок 2"/>
    <w:basedOn w:val="916"/>
    <w:next w:val="916"/>
    <w:link w:val="916"/>
    <w:pPr>
      <w:jc w:val="center"/>
      <w:keepNext/>
      <w:outlineLvl w:val="1"/>
    </w:pPr>
    <w:rPr>
      <w:b/>
      <w:bCs/>
    </w:rPr>
  </w:style>
  <w:style w:type="paragraph" w:styleId="919">
    <w:name w:val="Заголовок 3"/>
    <w:basedOn w:val="916"/>
    <w:next w:val="916"/>
    <w:link w:val="916"/>
    <w:pPr>
      <w:jc w:val="center"/>
      <w:keepNext/>
      <w:outlineLvl w:val="2"/>
    </w:pPr>
  </w:style>
  <w:style w:type="character" w:styleId="920">
    <w:name w:val="Основной шрифт абзаца"/>
    <w:next w:val="920"/>
    <w:link w:val="916"/>
    <w:semiHidden/>
  </w:style>
  <w:style w:type="table" w:styleId="921">
    <w:name w:val="Обычная таблица"/>
    <w:next w:val="921"/>
    <w:link w:val="916"/>
    <w:semiHidden/>
    <w:tblPr/>
  </w:style>
  <w:style w:type="numbering" w:styleId="922">
    <w:name w:val="Нет списка"/>
    <w:next w:val="922"/>
    <w:link w:val="916"/>
    <w:semiHidden/>
  </w:style>
  <w:style w:type="character" w:styleId="923">
    <w:name w:val="Гиперссылка"/>
    <w:next w:val="923"/>
    <w:link w:val="916"/>
    <w:rPr>
      <w:color w:val="0000ff"/>
      <w:u w:val="single"/>
    </w:rPr>
  </w:style>
  <w:style w:type="paragraph" w:styleId="924">
    <w:name w:val="Основной текст с отступом"/>
    <w:basedOn w:val="916"/>
    <w:next w:val="924"/>
    <w:link w:val="916"/>
    <w:pPr>
      <w:ind w:firstLine="720"/>
      <w:jc w:val="both"/>
      <w:spacing w:line="360" w:lineRule="auto"/>
    </w:pPr>
  </w:style>
  <w:style w:type="paragraph" w:styleId="925">
    <w:name w:val="Текст выноски"/>
    <w:basedOn w:val="916"/>
    <w:next w:val="925"/>
    <w:link w:val="916"/>
    <w:semiHidden/>
    <w:rPr>
      <w:rFonts w:ascii="Tahoma" w:hAnsi="Tahoma"/>
      <w:sz w:val="16"/>
      <w:szCs w:val="16"/>
    </w:rPr>
  </w:style>
  <w:style w:type="paragraph" w:styleId="926">
    <w:name w:val="Знак"/>
    <w:basedOn w:val="916"/>
    <w:next w:val="926"/>
    <w:link w:val="916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27">
    <w:name w:val="Сетка таблицы"/>
    <w:basedOn w:val="921"/>
    <w:next w:val="927"/>
    <w:link w:val="916"/>
    <w:tblPr/>
  </w:style>
  <w:style w:type="character" w:styleId="928">
    <w:name w:val="Основной текст_"/>
    <w:next w:val="928"/>
    <w:link w:val="930"/>
    <w:rPr>
      <w:sz w:val="28"/>
      <w:szCs w:val="28"/>
      <w:shd w:val="clear" w:color="auto" w:fill="ffffff"/>
    </w:rPr>
  </w:style>
  <w:style w:type="character" w:styleId="929">
    <w:name w:val="Основной текст + 11 pt"/>
    <w:next w:val="929"/>
    <w:link w:val="916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30">
    <w:name w:val="Основной текст1"/>
    <w:basedOn w:val="916"/>
    <w:next w:val="930"/>
    <w:link w:val="928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31">
    <w:name w:val="Верхний колонтитул"/>
    <w:basedOn w:val="916"/>
    <w:next w:val="931"/>
    <w:link w:val="93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2">
    <w:name w:val="Верхний колонтитул Знак"/>
    <w:next w:val="932"/>
    <w:link w:val="931"/>
    <w:rPr>
      <w:sz w:val="28"/>
    </w:rPr>
  </w:style>
  <w:style w:type="paragraph" w:styleId="933">
    <w:name w:val="Нижний колонтитул"/>
    <w:basedOn w:val="916"/>
    <w:next w:val="933"/>
    <w:link w:val="93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4">
    <w:name w:val="Нижний колонтитул Знак"/>
    <w:next w:val="934"/>
    <w:link w:val="933"/>
    <w:rPr>
      <w:sz w:val="28"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  <w:style w:type="table" w:styleId="937" w:default="1">
    <w:name w:val="Normal Table"/>
    <w:uiPriority w:val="99"/>
    <w:semiHidden/>
    <w:unhideWhenUsed/>
    <w:tblPr/>
  </w:style>
  <w:style w:type="paragraph" w:styleId="938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table" w:styleId="939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40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4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42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943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44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45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46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4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48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49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login.consultant.ru/link/?req=doc&amp;base=LAW&amp;n=357927&amp;date=27.08.2024" TargetMode="External"/><Relationship Id="rId16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52</cp:revision>
  <dcterms:modified xsi:type="dcterms:W3CDTF">2024-12-03T11:04:11Z</dcterms:modified>
</cp:coreProperties>
</file>