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  <w:t xml:space="preserve">Уведомление </w:t>
      </w:r>
      <w:r>
        <w:rPr>
          <w:highlight w:val="none"/>
          <w:shd w:val="clear" w:color="auto" w:fill="auto"/>
        </w:rPr>
      </w:r>
      <w:r/>
    </w:p>
    <w:p>
      <w:pPr>
        <w:pStyle w:val="818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  <w:t xml:space="preserve">о размещении проекта административного регламента </w:t>
      </w:r>
      <w:r>
        <w:rPr>
          <w:highlight w:val="none"/>
          <w:shd w:val="clear" w:color="auto" w:fill="auto"/>
        </w:rPr>
      </w:r>
      <w:r/>
    </w:p>
    <w:p>
      <w:pPr>
        <w:pStyle w:val="818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  <w:t xml:space="preserve">для проведения независимой антикоррупционной экспертизы</w:t>
      </w:r>
      <w:r>
        <w:rPr>
          <w:highlight w:val="none"/>
          <w:shd w:val="clear" w:color="auto" w:fill="auto"/>
        </w:rPr>
      </w:r>
      <w:r/>
    </w:p>
    <w:p>
      <w:pPr>
        <w:pStyle w:val="818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/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12"/>
              <w:jc w:val="center"/>
              <w:spacing w:before="0" w:after="0" w:line="240" w:lineRule="auto"/>
              <w:widowControl w:val="off"/>
              <w:rPr>
                <w:sz w:val="28"/>
                <w:szCs w:val="28"/>
                <w:highlight w:val="none"/>
                <w:u w:val="single"/>
              </w:rPr>
            </w:pPr>
            <w:r>
              <w:rPr>
                <w:sz w:val="28"/>
                <w:szCs w:val="28"/>
                <w:u w:val="single"/>
                <w:shd w:val="clear" w:color="auto" w:fill="auto"/>
                <w:lang w:val="ru-RU" w:eastAsia="zh-CN" w:bidi="ar-SA"/>
              </w:rPr>
              <w:t xml:space="preserve">Экономическое управление </w:t>
            </w:r>
            <w:r>
              <w:rPr>
                <w:sz w:val="28"/>
                <w:szCs w:val="28"/>
                <w:highlight w:val="none"/>
                <w:u w:val="single"/>
                <w:shd w:val="clear" w:color="auto" w:fill="auto"/>
              </w:rPr>
            </w:r>
            <w:r>
              <w:rPr>
                <w:sz w:val="28"/>
                <w:szCs w:val="28"/>
                <w:u w:val="single"/>
              </w:rPr>
            </w:r>
          </w:p>
          <w:p>
            <w:pPr>
              <w:pStyle w:val="812"/>
              <w:jc w:val="center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0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административного регламента)</w:t>
            </w:r>
            <w:r>
              <w:rPr>
                <w:sz w:val="20"/>
                <w:szCs w:val="24"/>
                <w:highlight w:val="none"/>
                <w:shd w:val="clear" w:color="auto" w:fill="auto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b w:val="0"/>
                <w:bCs w:val="0"/>
                <w:highlight w:val="none"/>
              </w:rPr>
            </w:pPr>
            <w:r>
              <w:rPr>
                <w:rFonts w:ascii="Arial" w:hAnsi="Arial" w:cs="Arial"/>
                <w:b w:val="0"/>
                <w:bCs w:val="0"/>
                <w:sz w:val="28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уведомляет о размещении проекта постановления администрации муниципального района «Чернянский район» «</w:t>
            </w:r>
            <w:r>
              <w:rPr>
                <w:rFonts w:ascii="Arial" w:hAnsi="Arial" w:cs="Arial"/>
                <w:b w:val="0"/>
                <w:bCs w:val="0"/>
                <w:sz w:val="28"/>
                <w:szCs w:val="28"/>
                <w:u w:val="single"/>
                <w:lang w:eastAsia="ru-RU"/>
              </w:rPr>
              <w:t xml:space="preserve">Об утверждении Порядка предоставления грантов администрации Чернянского района начинающим предпринимателям на создание собственного бизнеса</w:t>
            </w:r>
            <w:r>
              <w:rPr>
                <w:rFonts w:ascii="Arial" w:hAnsi="Arial" w:cs="Arial"/>
                <w:b w:val="0"/>
                <w:bCs w:val="0"/>
                <w:sz w:val="28"/>
                <w:szCs w:val="28"/>
                <w:lang w:eastAsia="ru-RU"/>
              </w:rPr>
              <w:t xml:space="preserve"> </w:t>
            </w:r>
            <w:r/>
          </w:p>
          <w:p>
            <w:pPr>
              <w:jc w:val="center"/>
              <w:spacing w:before="0" w:after="0" w:line="240" w:lineRule="auto"/>
              <w:widowControl w:val="off"/>
              <w:rPr>
                <w:szCs w:val="28"/>
                <w:highlight w:val="none"/>
              </w:rPr>
            </w:pPr>
            <w:r>
              <w:rPr>
                <w:sz w:val="20"/>
                <w:szCs w:val="24"/>
                <w:shd w:val="clear" w:color="auto" w:fill="auto"/>
                <w:lang w:val="ru-RU" w:eastAsia="zh-CN" w:bidi="ar-SA"/>
              </w:rPr>
              <w:t xml:space="preserve">(наименование административного регламента)</w:t>
            </w:r>
            <w:r/>
            <w:r>
              <w:rPr>
                <w:szCs w:val="28"/>
                <w:highlight w:val="none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Arial" w:hAnsi="Arial" w:eastAsia="Arial" w:cs="Arial"/>
                <w:b w:val="0"/>
                <w:sz w:val="28"/>
                <w:szCs w:val="28"/>
              </w:rPr>
            </w:pPr>
            <w:r>
              <w:rPr>
                <w:rFonts w:ascii="Arial" w:hAnsi="Arial" w:eastAsia="Arial" w:cs="Arial"/>
                <w:b w:val="0"/>
                <w:sz w:val="28"/>
                <w:szCs w:val="28"/>
              </w:rPr>
            </w:r>
            <w:r/>
          </w:p>
          <w:p>
            <w:pPr>
              <w:pStyle w:val="812"/>
              <w:jc w:val="both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b w:val="0"/>
                <w:bCs/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8"/>
                <w:highlight w:val="none"/>
                <w:shd w:val="clear" w:color="auto" w:fill="auto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12"/>
              <w:ind w:firstLine="709"/>
              <w:jc w:val="both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«02» июля 2025 г. по «11» июля 2025 г. по адресу: 309560, Белгородская область, п. Чернянка, пл.  Октябрьская, д. 13, каб. 2, или по адресу электронной почты </w:t>
            </w:r>
            <w:r>
              <w:rPr>
                <w:color w:val="000000"/>
                <w:sz w:val="28"/>
              </w:rPr>
              <w:t xml:space="preserve">otdtorg@ch.belregion.ru.</w:t>
            </w:r>
            <w:r>
              <w:rPr>
                <w:sz w:val="28"/>
                <w:highlight w:val="none"/>
                <w:shd w:val="clear" w:color="auto" w:fill="auto"/>
              </w:rPr>
            </w:r>
            <w:r/>
          </w:p>
          <w:p>
            <w:pPr>
              <w:pStyle w:val="812"/>
              <w:ind w:firstLine="709"/>
              <w:jc w:val="both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8"/>
                <w:szCs w:val="24"/>
                <w:shd w:val="clear" w:color="auto" w:fill="auto"/>
              </w:rPr>
            </w:r>
            <w:r>
              <w:rPr>
                <w:sz w:val="28"/>
                <w:szCs w:val="24"/>
                <w:highlight w:val="none"/>
                <w:shd w:val="clear" w:color="auto" w:fill="auto"/>
              </w:rPr>
            </w:r>
            <w:r/>
          </w:p>
          <w:p>
            <w:pPr>
              <w:pStyle w:val="812"/>
              <w:ind w:firstLine="709"/>
              <w:jc w:val="both"/>
              <w:spacing w:before="0" w:after="0" w:line="240" w:lineRule="auto"/>
              <w:widowControl w:val="off"/>
              <w:rPr>
                <w:highlight w:val="none"/>
                <w:u w:val="none"/>
              </w:rPr>
            </w:pP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постановления об утверждении </w:t>
            </w:r>
            <w:r>
              <w:rPr>
                <w:sz w:val="28"/>
                <w:szCs w:val="24"/>
                <w:u w:val="none"/>
                <w:shd w:val="clear" w:color="auto" w:fill="auto"/>
                <w:lang w:val="ru-RU" w:eastAsia="zh-CN" w:bidi="ar-SA"/>
              </w:rPr>
              <w:t xml:space="preserve">Порядка</w:t>
            </w:r>
            <w:r>
              <w:rPr>
                <w:rFonts w:ascii="Arial" w:hAnsi="Arial" w:cs="Arial"/>
                <w:b w:val="0"/>
                <w:bCs w:val="0"/>
                <w:sz w:val="28"/>
                <w:szCs w:val="28"/>
                <w:u w:val="none"/>
                <w:lang w:eastAsia="ru-RU"/>
              </w:rPr>
              <w:t xml:space="preserve"> предоставления грантов администрации Чернянского района начинающим предпринимателям на создание собственного бизнеса</w:t>
            </w:r>
            <w:r>
              <w:rPr>
                <w:sz w:val="28"/>
                <w:szCs w:val="24"/>
                <w:u w:val="none"/>
                <w:shd w:val="clear" w:color="auto" w:fill="auto"/>
                <w:lang w:val="ru-RU" w:eastAsia="zh-CN" w:bidi="ar-SA"/>
              </w:rPr>
              <w:t xml:space="preserve">  в формате </w:t>
            </w:r>
            <w:r>
              <w:rPr>
                <w:sz w:val="28"/>
                <w:szCs w:val="24"/>
                <w:u w:val="none"/>
                <w:shd w:val="clear" w:color="auto" w:fill="auto"/>
                <w:lang w:val="en-US" w:eastAsia="zh-CN" w:bidi="ar-SA"/>
              </w:rPr>
              <w:t xml:space="preserve">word</w:t>
            </w:r>
            <w:r>
              <w:rPr>
                <w:sz w:val="28"/>
                <w:szCs w:val="24"/>
                <w:highlight w:val="none"/>
                <w:u w:val="none"/>
                <w:shd w:val="clear" w:color="auto" w:fill="auto"/>
                <w:lang w:val="en-US" w:eastAsia="zh-CN" w:bidi="ar-SA"/>
              </w:rPr>
              <w:t xml:space="preserve">.</w:t>
            </w:r>
            <w:r>
              <w:rPr>
                <w:u w:val="none"/>
              </w:rPr>
            </w:r>
          </w:p>
        </w:tc>
      </w:tr>
    </w:tbl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Noto Sans Devanagar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  <w:style w:type="paragraph" w:styleId="818">
    <w:name w:val="Обычный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2025-07-02T11:16:44Z</dcterms:modified>
</cp:coreProperties>
</file>