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720"/>
        <w:jc w:val="center"/>
        <w:spacing w:before="0" w:after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sz w:val="26"/>
          <w:szCs w:val="26"/>
        </w:rPr>
        <w:br/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Уведомление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720"/>
        <w:jc w:val="center"/>
        <w:spacing w:before="0" w:after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о размещении проекта нормативного правового акта либо нормативного правового акта Чернянского муниципального округа для проведения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720"/>
        <w:jc w:val="center"/>
        <w:spacing w:before="0" w:after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независимой антикоррупционной экспертизы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left="0" w:right="0" w:firstLine="720"/>
        <w:jc w:val="both"/>
        <w:spacing w:before="0" w:after="0"/>
        <w:rPr>
          <w:rFonts w:ascii="Times New Roman" w:hAnsi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Style w:val="69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17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71" w:type="dxa"/>
            <w:vAlign w:val="top"/>
            <w:textDirection w:val="lrTb"/>
            <w:noWrap w:val="false"/>
          </w:tcPr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Главный специалист – ответственный секретарь административной комиссии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уведомляет о размещении проекта 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постановления «</w:t>
            </w:r>
            <w:r>
              <w:rPr>
                <w:sz w:val="24"/>
                <w:szCs w:val="24"/>
              </w:rPr>
              <w:t xml:space="preserve">Об определении перечня должностных лиц, уполномоченных составлять протоколы об административных правонарушениях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для проведения независимой антикоррупционной экспертизы в соответствии с Федеральным законом от 17 июля 2009 г. </w:t>
            </w:r>
            <w:hyperlink r:id="rId9" w:tooltip="https://pravo-search.minjust.ru/bigs/showDocument.html?id=111863D6-B7F1-481B-9BDF-5A9EFF92F0AA" w:history="1">
              <w:r>
                <w:rPr>
                  <w:rStyle w:val="816"/>
                  <w:rFonts w:ascii="Times New Roman" w:hAnsi="Times New Roman" w:eastAsia="PT Serif" w:cs="Times New Roman"/>
                  <w:color w:val="0000ff"/>
                  <w:sz w:val="26"/>
                  <w:szCs w:val="26"/>
                  <w:u w:val="none"/>
                </w:rPr>
                <w:t xml:space="preserve">№172-ФЗ</w:t>
              </w:r>
            </w:hyperlink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 «Об антикоррупционной экспертизе нормативных правовых актов и проектов нормативных правовых актов».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71" w:type="dxa"/>
            <w:vAlign w:val="top"/>
            <w:textDirection w:val="lrTb"/>
            <w:noWrap w:val="false"/>
          </w:tcPr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Заключения по результатам независимой антикоррупционной экспертизы принимаются в срок 01.12.2025 - 12.12.2025 по адресу: 309560, Белгородская область, п. Чернянка, пл. Октябрьская, д. 1, каб. 36, или по а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дресу электронной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 почты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PT Serif" w:cs="Times New Roman"/>
                <w:sz w:val="26"/>
                <w:szCs w:val="26"/>
              </w:rPr>
            </w:r>
            <w:hyperlink r:id="rId10" w:tooltip="http://denisyuk_as@ch.belregion.ru" w:history="1">
              <w:r>
                <w:rPr>
                  <w:rStyle w:val="816"/>
                  <w:rFonts w:ascii="Times New Roman" w:hAnsi="Times New Roman" w:eastAsia="PT Serif" w:cs="Times New Roman"/>
                  <w:sz w:val="26"/>
                  <w:szCs w:val="26"/>
                </w:rPr>
                <w:t xml:space="preserve">denisyuk_as@ch.belregion.ru</w:t>
              </w:r>
            </w:hyperlink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К уведомлению прилагается: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текст проекта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Чернянского муниципального округа «</w:t>
            </w:r>
            <w:r>
              <w:rPr>
                <w:b w:val="0"/>
                <w:sz w:val="24"/>
                <w:szCs w:val="28"/>
              </w:rPr>
              <w:t xml:space="preserve">Об определении перечня должностных лиц, уполномоченных составлять протоколы об административных правонарушениях»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0" w:right="0" w:firstLine="720"/>
              <w:jc w:val="both"/>
              <w:spacing w:before="0" w:after="0"/>
              <w:rPr>
                <w:rFonts w:ascii="Times New Roman" w:hAnsi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pStyle w:val="834"/>
        <w:jc w:val="center"/>
        <w:spacing w:after="0" w:line="240" w:lineRule="auto"/>
        <w:rPr>
          <w:b/>
          <w:bCs/>
          <w:highlight w:val="none"/>
        </w:rPr>
      </w:pPr>
      <w:r>
        <w:br/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jc w:val="left"/>
        <w:spacing w:after="0" w:line="240" w:lineRule="auto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r/>
      <w:r/>
    </w:p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uiPriority w:val="39"/>
    <w:unhideWhenUsed/>
    <w:pPr>
      <w:ind w:left="0" w:right="0" w:firstLine="0"/>
      <w:spacing w:after="57"/>
    </w:pPr>
  </w:style>
  <w:style w:type="paragraph" w:styleId="824">
    <w:name w:val="toc 2"/>
    <w:uiPriority w:val="39"/>
    <w:unhideWhenUsed/>
    <w:pPr>
      <w:ind w:left="283" w:right="0" w:firstLine="0"/>
      <w:spacing w:after="57"/>
    </w:pPr>
  </w:style>
  <w:style w:type="paragraph" w:styleId="825">
    <w:name w:val="toc 3"/>
    <w:uiPriority w:val="39"/>
    <w:unhideWhenUsed/>
    <w:pPr>
      <w:ind w:left="567" w:right="0" w:firstLine="0"/>
      <w:spacing w:after="57"/>
    </w:pPr>
  </w:style>
  <w:style w:type="paragraph" w:styleId="826">
    <w:name w:val="toc 4"/>
    <w:uiPriority w:val="39"/>
    <w:unhideWhenUsed/>
    <w:pPr>
      <w:ind w:left="850" w:right="0" w:firstLine="0"/>
      <w:spacing w:after="57"/>
    </w:pPr>
  </w:style>
  <w:style w:type="paragraph" w:styleId="827">
    <w:name w:val="toc 5"/>
    <w:uiPriority w:val="39"/>
    <w:unhideWhenUsed/>
    <w:pPr>
      <w:ind w:left="1134" w:right="0" w:firstLine="0"/>
      <w:spacing w:after="57"/>
    </w:pPr>
  </w:style>
  <w:style w:type="paragraph" w:styleId="828">
    <w:name w:val="toc 6"/>
    <w:uiPriority w:val="39"/>
    <w:unhideWhenUsed/>
    <w:pPr>
      <w:ind w:left="1417" w:right="0" w:firstLine="0"/>
      <w:spacing w:after="57"/>
    </w:pPr>
  </w:style>
  <w:style w:type="paragraph" w:styleId="829">
    <w:name w:val="toc 7"/>
    <w:uiPriority w:val="39"/>
    <w:unhideWhenUsed/>
    <w:pPr>
      <w:ind w:left="1701" w:right="0" w:firstLine="0"/>
      <w:spacing w:after="57"/>
    </w:pPr>
  </w:style>
  <w:style w:type="paragraph" w:styleId="830">
    <w:name w:val="toc 8"/>
    <w:uiPriority w:val="39"/>
    <w:unhideWhenUsed/>
    <w:pPr>
      <w:ind w:left="1984" w:right="0" w:firstLine="0"/>
      <w:spacing w:after="57"/>
    </w:pPr>
  </w:style>
  <w:style w:type="paragraph" w:styleId="831">
    <w:name w:val="toc 9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uiPriority w:val="99"/>
    <w:unhideWhenUsed/>
    <w:pPr>
      <w:spacing w:after="0" w:afterAutospacing="0"/>
    </w:pPr>
  </w:style>
  <w:style w:type="paragraph" w:styleId="834">
    <w:name w:val="Обычный"/>
    <w:next w:val="834"/>
    <w:link w:val="83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Стиль1"/>
    <w:basedOn w:val="834"/>
    <w:next w:val="838"/>
    <w:link w:val="84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paragraph" w:styleId="843" w:default="1">
    <w:name w:val="Normal"/>
    <w:qFormat/>
  </w:style>
  <w:style w:type="table" w:styleId="844" w:default="1">
    <w:name w:val="Normal Table"/>
    <w:uiPriority w:val="99"/>
    <w:semiHidden/>
    <w:unhideWhenUsed/>
    <w:tblPr/>
  </w:style>
  <w:style w:type="paragraph" w:styleId="845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pravo-search.minjust.ru/bigs/showDocument.html?id=111863D6-B7F1-481B-9BDF-5A9EFF92F0AA" TargetMode="External"/><Relationship Id="rId10" Type="http://schemas.openxmlformats.org/officeDocument/2006/relationships/hyperlink" Target="http://denisyuk_as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2025-12-10T13:48:22Z</dcterms:modified>
</cp:coreProperties>
</file>