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</w:rPr>
              <w:t xml:space="preserve">Экономическое</w:t>
            </w:r>
            <w:r>
              <w:rPr>
                <w:sz w:val="24"/>
                <w:szCs w:val="24"/>
              </w:rPr>
              <w:t xml:space="preserve"> управление 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</w:t>
            </w:r>
            <w:r>
              <w:rPr>
                <w:sz w:val="24"/>
                <w:szCs w:val="24"/>
              </w:rPr>
              <w:t xml:space="preserve">новления администрации муниципального района «Чернянский район» Белгородской обла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муниципальной программы «Развитие экономического потенциала и формирование благоприятного предпринимательского климата в Чернянском районе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boklagova_ar@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27</w:t>
            </w:r>
            <w:r>
              <w:rPr>
                <w:sz w:val="24"/>
                <w:szCs w:val="24"/>
                <w:highlight w:val="white"/>
              </w:rPr>
              <w:t xml:space="preserve"> ноября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10 декабря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>
              <w:rPr>
                <w:sz w:val="40"/>
                <w:szCs w:val="40"/>
                <w:highlight w:val="yellow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</w:t>
            </w:r>
            <w:r>
              <w:rPr>
                <w:sz w:val="24"/>
                <w:szCs w:val="24"/>
                <w:highlight w:val="white"/>
              </w:rPr>
              <w:t xml:space="preserve">ти </w:t>
            </w:r>
            <w:r>
              <w:rPr>
                <w:sz w:val="24"/>
                <w:szCs w:val="24"/>
                <w:highlight w:val="white"/>
              </w:rPr>
              <w:t xml:space="preserve">«</w:t>
            </w:r>
            <w:r>
              <w:rPr>
                <w:sz w:val="24"/>
                <w:szCs w:val="24"/>
                <w:highlight w:val="white"/>
              </w:rPr>
              <w:t xml:space="preserve">Об утверждении муниципальной программы «Развитие экономического потенциала и формирование благоприятного предпринимательского климата в Чернянском районе Белгородской области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Дворцевая Алина Романовна,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 отдела экономического анализа и социально-экономического развития территорий</w:t>
            </w:r>
            <w:r>
              <w:rPr>
                <w:i/>
                <w:sz w:val="24"/>
                <w:szCs w:val="24"/>
                <w:highlight w:val="white"/>
              </w:rPr>
              <w:t xml:space="preserve"> экономического управления </w:t>
            </w:r>
            <w:r>
              <w:rPr>
                <w:i/>
                <w:sz w:val="24"/>
                <w:szCs w:val="24"/>
                <w:highlight w:val="white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5-</w:t>
            </w:r>
            <w:r>
              <w:rPr>
                <w:i/>
                <w:sz w:val="24"/>
                <w:szCs w:val="24"/>
                <w:highlight w:val="none"/>
              </w:rPr>
              <w:t xml:space="preserve">60.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Стиль1"/>
    <w:basedOn w:val="829"/>
    <w:link w:val="83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7">
    <w:name w:val="Hyperlink"/>
    <w:basedOn w:val="8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19</cp:revision>
  <dcterms:created xsi:type="dcterms:W3CDTF">2020-06-04T07:29:00Z</dcterms:created>
  <dcterms:modified xsi:type="dcterms:W3CDTF">2024-11-27T11:01:11Z</dcterms:modified>
</cp:coreProperties>
</file>