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55434D" w:rsidRPr="0055434D" w:rsidRDefault="0055434D" w:rsidP="0055434D">
            <w:pPr>
              <w:ind w:left="79" w:right="14"/>
              <w:jc w:val="center"/>
              <w:rPr>
                <w:sz w:val="26"/>
                <w:szCs w:val="24"/>
                <w:u w:val="single"/>
                <w:lang w:eastAsia="zh-CN"/>
              </w:rPr>
            </w:pPr>
            <w:r w:rsidRPr="0055434D">
              <w:rPr>
                <w:sz w:val="26"/>
                <w:szCs w:val="24"/>
                <w:u w:val="single"/>
                <w:lang w:eastAsia="zh-CN"/>
              </w:rPr>
              <w:t>Муниципальное казенное учреждение</w:t>
            </w:r>
          </w:p>
          <w:p w:rsidR="003A18FF" w:rsidRPr="0055434D" w:rsidRDefault="0055434D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 w:rsidRPr="0055434D">
              <w:rPr>
                <w:sz w:val="26"/>
                <w:szCs w:val="24"/>
                <w:u w:val="single"/>
                <w:lang w:eastAsia="zh-CN"/>
              </w:rPr>
              <w:t>«Управление культуры Чернянского района»</w:t>
            </w:r>
          </w:p>
          <w:p w:rsidR="003A18FF" w:rsidRDefault="00A87AA4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>
            <w:pPr>
              <w:jc w:val="both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55434D" w:rsidRDefault="0055434D" w:rsidP="0055434D">
            <w:pPr>
              <w:jc w:val="center"/>
              <w:rPr>
                <w:sz w:val="26"/>
                <w:szCs w:val="24"/>
                <w:u w:val="single"/>
                <w:lang w:eastAsia="zh-CN"/>
              </w:rPr>
            </w:pPr>
            <w:r w:rsidRPr="0055434D">
              <w:rPr>
                <w:sz w:val="26"/>
                <w:szCs w:val="24"/>
                <w:u w:val="single"/>
                <w:lang w:eastAsia="zh-CN"/>
              </w:rPr>
              <w:t>постановление администрации муниципального района «Чернянский район» Белгородской области «Об утверждении муниципальной программы</w:t>
            </w:r>
          </w:p>
          <w:p w:rsidR="003A18FF" w:rsidRDefault="0055434D" w:rsidP="0055434D">
            <w:pPr>
              <w:jc w:val="center"/>
              <w:rPr>
                <w:sz w:val="26"/>
              </w:rPr>
            </w:pPr>
            <w:r w:rsidRPr="0055434D">
              <w:rPr>
                <w:sz w:val="26"/>
                <w:szCs w:val="24"/>
                <w:u w:val="single"/>
                <w:lang w:eastAsia="zh-CN"/>
              </w:rPr>
              <w:t xml:space="preserve"> «Развитие и сохранение культуры Чернянского района</w:t>
            </w:r>
            <w:r>
              <w:rPr>
                <w:sz w:val="26"/>
                <w:szCs w:val="24"/>
                <w:lang w:eastAsia="zh-CN"/>
              </w:rPr>
              <w:t>"</w:t>
            </w:r>
          </w:p>
          <w:p w:rsidR="003A18FF" w:rsidRDefault="00A87AA4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</w:t>
            </w:r>
            <w:r>
              <w:rPr>
                <w:sz w:val="26"/>
                <w:szCs w:val="24"/>
                <w:lang w:eastAsia="zh-CN"/>
              </w:rPr>
              <w:t>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</w:t>
            </w:r>
            <w:r>
              <w:rPr>
                <w:sz w:val="26"/>
                <w:szCs w:val="28"/>
                <w:lang w:eastAsia="zh-CN"/>
              </w:rPr>
              <w:t xml:space="preserve">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>пертизы принимаются в срок с «03» декабря 2024 г. по «17» декабря 2024</w:t>
            </w:r>
            <w:r>
              <w:rPr>
                <w:sz w:val="26"/>
                <w:szCs w:val="24"/>
                <w:lang w:eastAsia="zh-CN"/>
              </w:rPr>
              <w:t xml:space="preserve"> г. по адресу: 309560, Белгородская область, п. Че</w:t>
            </w:r>
            <w:r w:rsidR="0055434D">
              <w:rPr>
                <w:sz w:val="26"/>
                <w:szCs w:val="24"/>
                <w:lang w:eastAsia="zh-CN"/>
              </w:rPr>
              <w:t>рнянка, пл. Октябрьская, д. 7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>ктронной почты</w:t>
            </w:r>
            <w:bookmarkStart w:id="0" w:name="_GoBack"/>
            <w:bookmarkEnd w:id="0"/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hyperlink r:id="rId6" w:tooltip="mailto:otdtorg@ch.belregion.ru," w:history="1">
              <w:r w:rsidR="0055434D" w:rsidRPr="00EA6308">
                <w:rPr>
                  <w:rStyle w:val="13"/>
                  <w:rFonts w:eastAsia="Arial"/>
                  <w:color w:val="000000" w:themeColor="text1"/>
                  <w:sz w:val="28"/>
                  <w:szCs w:val="28"/>
                  <w:lang w:val="en-US"/>
                </w:rPr>
                <w:t>postchern</w:t>
              </w:r>
            </w:hyperlink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  <w:lang w:val="en-US"/>
              </w:rPr>
              <w:t>culture</w:t>
            </w:r>
            <w:r w:rsidR="0055434D">
              <w:rPr>
                <w:rStyle w:val="13"/>
                <w:rFonts w:eastAsia="Arial"/>
                <w:color w:val="000000" w:themeColor="text1"/>
                <w:sz w:val="28"/>
                <w:szCs w:val="28"/>
              </w:rPr>
              <w:t>@</w:t>
            </w:r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  <w:lang w:val="en-US"/>
              </w:rPr>
              <w:t>ch</w:t>
            </w:r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</w:rPr>
              <w:t>.</w:t>
            </w:r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</w:rPr>
              <w:t>.</w:t>
            </w:r>
            <w:r w:rsidR="0055434D" w:rsidRPr="00EA6308">
              <w:rPr>
                <w:rStyle w:val="13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текст проекта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AA4" w:rsidRDefault="00A87AA4">
      <w:r>
        <w:separator/>
      </w:r>
    </w:p>
  </w:endnote>
  <w:endnote w:type="continuationSeparator" w:id="0">
    <w:p w:rsidR="00A87AA4" w:rsidRDefault="00A8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Sans Serif Collectio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AA4" w:rsidRDefault="00A87AA4">
      <w:r>
        <w:separator/>
      </w:r>
    </w:p>
  </w:footnote>
  <w:footnote w:type="continuationSeparator" w:id="0">
    <w:p w:rsidR="00A87AA4" w:rsidRDefault="00A87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3A18FF"/>
    <w:rsid w:val="0055434D"/>
    <w:rsid w:val="00A8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9D1B"/>
  <w15:docId w15:val="{F9A8E7D8-A9F0-4275-9DBD-0EA7D776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1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4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3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tdtorg@ch.belregion.ru,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1170</Characters>
  <Application>Microsoft Office Word</Application>
  <DocSecurity>0</DocSecurity>
  <Lines>9</Lines>
  <Paragraphs>2</Paragraphs>
  <ScaleCrop>false</ScaleCrop>
  <Company>КонсультантПлюс Версия 4022.00.21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pro</cp:lastModifiedBy>
  <cp:revision>159</cp:revision>
  <dcterms:created xsi:type="dcterms:W3CDTF">2022-09-29T10:25:00Z</dcterms:created>
  <dcterms:modified xsi:type="dcterms:W3CDTF">2024-12-04T13:16:00Z</dcterms:modified>
  <dc:language>ru-RU</dc:language>
</cp:coreProperties>
</file>