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ind w:left="4956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4956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к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постановлению администрации Чернянского района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4956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40"/>
        <w:ind w:left="4248" w:firstLine="709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от «___» _________ 2025 года № ____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numPr>
          <w:ilvl w:val="0"/>
          <w:numId w:val="0"/>
        </w:numPr>
        <w:ind w:left="0" w:firstLine="0"/>
        <w:jc w:val="center"/>
        <w:keepLines/>
        <w:keepNext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Правила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40"/>
        <w:numPr>
          <w:ilvl w:val="0"/>
          <w:numId w:val="0"/>
        </w:numPr>
        <w:ind w:left="0" w:firstLine="0"/>
        <w:jc w:val="center"/>
        <w:keepLines/>
        <w:keepNext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использования водных объектов для рекреационных целей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br w:type="textWrapping" w:clear="all"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на территории Чернянского муниципального округа Белгородской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40"/>
        <w:numPr>
          <w:ilvl w:val="0"/>
          <w:numId w:val="0"/>
        </w:numPr>
        <w:ind w:left="0" w:firstLine="0"/>
        <w:jc w:val="center"/>
        <w:keepLines/>
        <w:keepNext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40"/>
        <w:numPr>
          <w:ilvl w:val="0"/>
          <w:numId w:val="0"/>
        </w:numPr>
        <w:ind w:left="0" w:firstLine="0"/>
        <w:jc w:val="center"/>
        <w:keepLines/>
        <w:keepNext/>
        <w:spacing w:before="0" w:after="0" w:line="240" w:lineRule="auto"/>
        <w:widowControl w:val="off"/>
        <w:tabs>
          <w:tab w:val="clear" w:pos="708" w:leader="none"/>
          <w:tab w:val="left" w:pos="1029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  <w:outlineLvl w:val="0"/>
      </w:pPr>
      <w:r/>
      <w:bookmarkStart w:id="2" w:name="bookmark2"/>
      <w:r>
        <w:rPr>
          <w:rFonts w:ascii="Times New Roman" w:hAnsi="Times New Roman" w:eastAsia="Times New Roman" w:cs="Times New Roman"/>
          <w:b/>
          <w:bCs/>
          <w:sz w:val="28"/>
          <w:szCs w:val="28"/>
          <w:lang w:val="en-US"/>
        </w:rPr>
        <w:t xml:space="preserve">I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. Общие положения</w:t>
      </w:r>
      <w:bookmarkEnd w:id="2"/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40"/>
        <w:numPr>
          <w:ilvl w:val="0"/>
          <w:numId w:val="0"/>
        </w:numPr>
        <w:ind w:left="743" w:firstLine="0"/>
        <w:jc w:val="center"/>
        <w:keepLines/>
        <w:keepNext/>
        <w:spacing w:before="0" w:after="0" w:line="240" w:lineRule="auto"/>
        <w:widowControl w:val="off"/>
        <w:tabs>
          <w:tab w:val="clear" w:pos="708" w:leader="none"/>
          <w:tab w:val="left" w:pos="1029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33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Правила использования водных объектов для рекреационных целей </w:t>
        <w:br/>
        <w:t xml:space="preserve">на территории Чернянского муниципального округа Белгородской области  (далее – Правила) уста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навливают в соответствии с Водным кодексом Российской Федерации, иными федеральными законами, а также нормативными правовыми актами Белгородской области и муниципальными правовыми актами требования по использованию водных объектов для рекреационны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</w:t>
        <w:br/>
        <w:t xml:space="preserve">(далее – рекреационных целей), расположенных на территории  Чернянского муниципального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округа Белгородской области.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В настоящих Правилах используются следующие основные понятия: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владелец пляжа – физическое или юридическое лицо, которым предоставлены в пользование в установленном порядке для оборудования пляжа земельный участок и водный объект или его часть;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зона отдыха и другие территории, связанные с использованием водных объектов или их частей для рекреационных целей – участок территории, примыкающий к водному объекту, выделенный и закрепле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нный в порядке, установленном законодательством, а также комплекс временных и постоянных сооружений, расположенных на этом участке и несущих функциональную нагрузку в качестве оборудования зоны отдыха, обустроенный </w:t>
        <w:br/>
        <w:t xml:space="preserve">для использования в рекреационных целях;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зона рекреации водного объекта общего пользования – водный объект общего пользования или его участок с прилегающим к нему берегом, используемые для массового отдыха населения и купания;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объект отдыха – место отдыха или сооружение, используемое для проведения рекреационных, развлекательных, культурных и спортивных мероприятий на акватории и/или берегу водного объекта, имеющего открытую водную поверхность;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пляж – участок побережья естественного или искусственного водоема </w:t>
        <w:br/>
        <w:t xml:space="preserve">с прибрежными водами (акваторией), оборудованный и пригодный </w:t>
        <w:br/>
        <w:t xml:space="preserve">для организованного отдыха, купания и приема оздоровительных </w:t>
        <w:br/>
        <w:t xml:space="preserve">и профилактических процедур.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Иные понятия, используемые в настоящих Правилах, применяются </w:t>
        <w:br/>
        <w:t xml:space="preserve">в значениях, определяемых Водным кодексом Российской Федерации</w:t>
      </w:r>
      <w:r>
        <w:rPr>
          <w:rFonts w:ascii="Tahoma" w:hAnsi="Tahoma" w:eastAsia="Times New Roman" w:cs="Tahoma"/>
          <w:sz w:val="26"/>
          <w:szCs w:val="26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jc w:val="both"/>
        <w:spacing w:before="0" w:after="0" w:line="240" w:lineRule="auto"/>
        <w:widowControl w:val="off"/>
        <w:tabs>
          <w:tab w:val="clear" w:pos="708" w:leader="none"/>
          <w:tab w:val="left" w:pos="133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4" w:name="bookmark3"/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before="0" w:after="0" w:line="240" w:lineRule="auto"/>
        <w:widowControl w:val="off"/>
        <w:tabs>
          <w:tab w:val="clear" w:pos="708" w:leader="none"/>
          <w:tab w:val="left" w:pos="133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jc w:val="center"/>
        <w:spacing w:before="0" w:after="0" w:line="240" w:lineRule="auto"/>
        <w:widowControl w:val="off"/>
        <w:tabs>
          <w:tab w:val="clear" w:pos="708" w:leader="none"/>
          <w:tab w:val="left" w:pos="1334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en-US"/>
        </w:rPr>
        <w:t xml:space="preserve">II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. Требования к определению водных объектов или их частей, предназначенных для использования в рекреационных целях</w:t>
      </w:r>
      <w:bookmarkEnd w:id="4"/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40"/>
        <w:ind w:firstLine="709"/>
        <w:jc w:val="center"/>
        <w:spacing w:before="0" w:after="0" w:line="240" w:lineRule="auto"/>
        <w:widowControl w:val="off"/>
        <w:tabs>
          <w:tab w:val="clear" w:pos="708" w:leader="none"/>
          <w:tab w:val="left" w:pos="133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Определение водных объектов или их частей для использования </w:t>
        <w:br/>
        <w:t xml:space="preserve">в рекреационных целях осуществляется правовым актом а</w:t>
      </w:r>
      <w:r>
        <w:rPr>
          <w:rFonts w:ascii="Times New Roman" w:hAnsi="Times New Roman" w:eastAsia="Times New Roman" w:cs="Times New Roman"/>
          <w:sz w:val="28"/>
          <w:szCs w:val="28"/>
          <w:shd w:val="clear" w:color="ffffff" w:themeColor="background1" w:fill="ffffff" w:themeFill="background1"/>
        </w:rPr>
        <w:t xml:space="preserve">дминистрации </w:t>
      </w:r>
      <w:r>
        <w:rPr>
          <w:rFonts w:ascii="Times New Roman" w:hAnsi="Times New Roman" w:eastAsia="Times New Roman" w:cs="Times New Roman"/>
          <w:sz w:val="28"/>
          <w:szCs w:val="28"/>
          <w:shd w:val="clear" w:color="ffffff" w:themeColor="background1" w:fill="ffffff" w:themeFill="background1"/>
        </w:rPr>
        <w:t xml:space="preserve"> Чернянского района,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исходя из физических характеристик водного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объекта (его части)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 прилегающей территории, обеспечивающие их безопасное использование в рекреационных целях, в том числе: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1) соответствие качества воды водного объекта (его части) и состояния прилегающей территории санитарным требованиям;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2) наличие или возможность устройства удобных и безопасных подходов к водному объекту;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3) наличие подъездных (пешеходных) путей к зоне рекреации водного объекта;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4) безопасный рельеф дна водного объекта (отсутствие ям, зарослей водных растений, острых камней и иных подобных недостатков рельефа);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5) благоприятный гидрологический режим (отсутствие водоворотов, течений более 0,5 метров в секунду, резких колебаний уровня воды);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6) отсутствие возможности неблагоприятных и опасных процессов (оползней, обвалов, селей, лавин);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7) удаленность от источников загрязнения: не менее 500 метров выше </w:t>
        <w:br/>
        <w:t xml:space="preserve">по течению от мест выпуска сточных вод, не ближе 250 метров выше </w:t>
        <w:br/>
        <w:t xml:space="preserve">и 1000 метров ниже портовых гидротехнических сооружений, пристаней, причалов, нефтеналивных приспособлений;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8) удалённость от гидротехнических сооружений, водосбросных </w:t>
        <w:br/>
        <w:t xml:space="preserve">и водозаборных (мелиоративных) устройств: не ближе 50 метров выше </w:t>
        <w:br/>
        <w:t xml:space="preserve">и 300 метров ниже таких устройств, если иное не установлено действующим законодательством;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9) отсутствие санитарно-защитных зон промышленных предприятий, отсутствие с наветренной стороны источников загрязнения окружающей среды и источников шума.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8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en-US"/>
        </w:rPr>
        <w:t xml:space="preserve">III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. Требования к определению зон отдыха и других территорий, включая пляжи, связанных с использованием водных объектов </w:t>
        <w:br/>
        <w:t xml:space="preserve">или их частей для рекреационных целей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spacing w:before="0" w:after="0" w:line="302" w:lineRule="exact"/>
        <w:widowControl w:val="off"/>
        <w:tabs>
          <w:tab w:val="clear" w:pos="708" w:leader="none"/>
          <w:tab w:val="left" w:pos="1013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yellow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4.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Одновременно с определением водных объектов или их частей</w:t>
        <w:br/>
        <w:t xml:space="preserve"> для использования в рекреационных целях а</w:t>
      </w:r>
      <w:r>
        <w:rPr>
          <w:rFonts w:ascii="Times New Roman" w:hAnsi="Times New Roman" w:eastAsia="Times New Roman" w:cs="Times New Roman"/>
          <w:sz w:val="28"/>
          <w:szCs w:val="28"/>
          <w:shd w:val="clear" w:color="ffffff" w:themeColor="background1" w:fill="ffffff" w:themeFill="background1"/>
        </w:rPr>
        <w:t xml:space="preserve">дминистраций Чернянского района </w:t>
      </w:r>
      <w:r>
        <w:rPr>
          <w:rFonts w:ascii="Times New Roman" w:hAnsi="Times New Roman" w:eastAsia="Times New Roman" w:cs="Times New Roman"/>
          <w:sz w:val="28"/>
          <w:szCs w:val="28"/>
          <w:shd w:val="clear" w:color="ffffff" w:themeColor="background1" w:fill="ffffff" w:themeFill="background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hd w:val="clear" w:color="ffffff" w:themeColor="background1" w:fill="ffffff" w:themeFill="background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определяются зоны отдыха и другие территории, включая пляжи, связанные с использованием водных объектов или их частей для рекреационных целей (далее - зоны отдыха).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5. Зоны отдыха и другие территории, включая пляжи, связанные </w:t>
        <w:br/>
        <w:t xml:space="preserve">с использованием водных объектов или их частей для рекреационных целей, определяются </w:t>
      </w:r>
      <w:r>
        <w:rPr>
          <w:rFonts w:ascii="Times New Roman" w:hAnsi="Times New Roman" w:eastAsia="Times New Roman" w:cs="Times New Roman"/>
          <w:sz w:val="28"/>
          <w:szCs w:val="28"/>
          <w:shd w:val="clear" w:color="ffffff" w:themeColor="background1" w:fill="ffffff" w:themeFill="background1"/>
        </w:rPr>
        <w:t xml:space="preserve">администрацией Чернянского района  в соответствии с  документами территориального планирования территории.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Решение об использовании прибрежных акваторий водных объектов </w:t>
        <w:br/>
        <w:t xml:space="preserve">и примыкающих к ним земельных участков в рекреационных целях принимается администрацией Чернянского района.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6. При определении пляжей применяются Правила пользования пляжами </w:t>
        <w:br/>
        <w:t xml:space="preserve">в Российской Ф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едерации, утвержденные приказом Министерства Российской Федерации по делам гражданской обороны, чрезвычайным ситуациям </w:t>
        <w:br/>
        <w:t xml:space="preserve">и ликвидации последствий стихийных бедствий от 30 сентября 2020 года № 732 (далее – Правила пользования пляжами в Российской Федерации).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left="760"/>
        <w:spacing w:before="0" w:after="0" w:line="302" w:lineRule="exact"/>
        <w:widowControl w:val="off"/>
        <w:tabs>
          <w:tab w:val="clear" w:pos="708" w:leader="none"/>
          <w:tab w:val="left" w:pos="1013" w:leader="none"/>
        </w:tabs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Style w:val="840"/>
        <w:numPr>
          <w:ilvl w:val="0"/>
          <w:numId w:val="0"/>
        </w:numPr>
        <w:ind w:left="0" w:firstLine="0"/>
        <w:jc w:val="center"/>
        <w:keepLines/>
        <w:keepNext/>
        <w:spacing w:before="0" w:after="0" w:line="240" w:lineRule="auto"/>
        <w:widowControl w:val="off"/>
        <w:tabs>
          <w:tab w:val="clear" w:pos="708" w:leader="none"/>
          <w:tab w:val="left" w:pos="1058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  <w:outlineLvl w:val="0"/>
      </w:pPr>
      <w:r>
        <w:t xml:space="preserve">         </w:t>
        <w:tab/>
      </w:r>
      <w:bookmarkStart w:id="5" w:name="bookmark4"/>
      <w:r>
        <w:rPr>
          <w:rFonts w:ascii="Times New Roman" w:hAnsi="Times New Roman" w:eastAsia="Times New Roman" w:cs="Times New Roman"/>
          <w:b/>
          <w:bCs/>
          <w:sz w:val="28"/>
          <w:szCs w:val="28"/>
          <w:lang w:val="en-US"/>
        </w:rPr>
        <w:t xml:space="preserve">IV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. Требования к срокам открытия и закрытия купального сезона</w:t>
      </w:r>
      <w:bookmarkEnd w:id="5"/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40"/>
        <w:numPr>
          <w:ilvl w:val="0"/>
          <w:numId w:val="0"/>
        </w:numPr>
        <w:ind w:left="0" w:firstLine="0"/>
        <w:jc w:val="center"/>
        <w:keepLines/>
        <w:keepNext/>
        <w:spacing w:before="0" w:after="0" w:line="307" w:lineRule="exact"/>
        <w:widowControl w:val="off"/>
        <w:tabs>
          <w:tab w:val="clear" w:pos="708" w:leader="none"/>
          <w:tab w:val="left" w:pos="1058" w:leader="none"/>
        </w:tabs>
        <w:rPr>
          <w:rFonts w:ascii="Times New Roman" w:hAnsi="Times New Roman" w:eastAsia="Times New Roman" w:cs="Times New Roman"/>
          <w:bCs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7. Сроки открытия и закрытия купального сезона ежегодно устанавливаются </w:t>
      </w:r>
      <w:r>
        <w:rPr>
          <w:rFonts w:ascii="Times New Roman" w:hAnsi="Times New Roman" w:eastAsia="Times New Roman" w:cs="Times New Roman"/>
          <w:sz w:val="28"/>
          <w:szCs w:val="28"/>
          <w:shd w:val="clear" w:color="ffffff" w:themeColor="background1" w:fill="ffffff" w:themeFill="background1"/>
        </w:rPr>
        <w:t xml:space="preserve">администрацией Чернянского района 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соответствии с периодом купального сезона, устанавливаемым Правительством Белгородской области.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8. Открытие и закрытие купального сезона осуществляется </w:t>
        <w:br/>
        <w:t xml:space="preserve">с наступлением летнего периода, при повышении температуры воздуха </w:t>
        <w:br/>
        <w:t xml:space="preserve">в дневное время выше +18 °C и ночью выше +10 °C, а также установлении комфортной температуры воды в зоне рекреации водных объектов.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left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left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Style w:val="840"/>
        <w:ind w:left="1416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en-US"/>
        </w:rPr>
        <w:t xml:space="preserve">V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. Порядок проведения мероприятий, связанных </w:t>
        <w:br/>
        <w:t xml:space="preserve">с использованием водных объектов или их частей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bookmarkStart w:id="6" w:name="bookmark5"/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для рекреационных целей</w:t>
      </w:r>
      <w:bookmarkEnd w:id="6"/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Style w:val="840"/>
        <w:ind w:firstLine="709"/>
        <w:jc w:val="both"/>
        <w:spacing w:before="0" w:after="0" w:line="307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307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9. Владельцы зон отдыха не менее чем за 30 календарных дней </w:t>
        <w:br/>
        <w:t xml:space="preserve">до планируемой даты начала эксплуатации водного объекта (его части) обеспечивают проведение мероприятий, связанных </w:t>
      </w:r>
      <w:bookmarkStart w:id="7" w:name="_GoBack"/>
      <w:r/>
      <w:bookmarkEnd w:id="7"/>
      <w:r>
        <w:rPr>
          <w:rFonts w:ascii="Times New Roman" w:hAnsi="Times New Roman" w:eastAsia="Times New Roman" w:cs="Times New Roman"/>
          <w:sz w:val="28"/>
          <w:szCs w:val="28"/>
        </w:rPr>
        <w:t xml:space="preserve">с его использованием для рекреационных целей, в том числе: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307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1) обеспечивают проведение водолазного обследования и очистки дна </w:t>
        <w:br/>
        <w:t xml:space="preserve">в границах зоны купания от водных растений, коряг, стекла, камней </w:t>
        <w:br/>
        <w:t xml:space="preserve">и предметов, создающих угрозу жизни и здоровью посетителей, постановку пляжа на учет в Главном управлении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Министерства Российской Федерации </w:t>
        <w:br/>
        <w:t xml:space="preserve">по делам гражданской обороны, чрезвычайным ситуациям и ликвидации последствий стихийных бедствий по Белгородской области, выполнение иных мероприятий, предусмотренных Правилами пользования пляжами в Российской Федерации;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307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2) обеспечивают получение санитарно-эпидемиологического заключения о соответствии водного объекта санитарным правилам и нормативам.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307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Срок действия санитарно-эпидемиологического заключения устанавливается на летний сезон.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307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Для получения санитарно-эпидемиологического заключения </w:t>
        <w:br/>
        <w:t xml:space="preserve">на использование водного объекта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рекреационных целях заявителю необходимо представить в Управление Роспотребнадзора по Белгородской  области заявление и экспертное заключение по результатам экспертизы, проведенной Федеральным бюджетным учреждением здравоохранения «Центр гигиены и эпиде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миологии в Белгородской  области» или иной аккредитованной организацией, на основании результатов лабораторных исследований качества воды водного объекта, планируемого к осуществлению рекреационной деятельности, и качества почвы (песка) с территории пляжа;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307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3) обеспечивают проведение дератизационных и дезинсекционных мероприятий в соответствии с требованиями санитарных правил и санитарно-эпидемиологическими требованиями по пр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офилактике инфекционных </w:t>
        <w:br/>
        <w:t xml:space="preserve">и паразитарных болезней, а также к организации и проведению санитарно-противоэпидемических (профилактических) мероприятий, и иных мероприятий, предусмотренных законодательством о санитарно-эпидемиологическом благополучии населения;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307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4) проводят регулярное наблюдение за состоянием показателей качества воды в водном объекте в соответствии с программой регулярных наблюдений </w:t>
        <w:br/>
        <w:t xml:space="preserve">и результатов наблюдений за водным объектом и его водоохранной зоной;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307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5) осуществляют проведение наблюдений и измерений, предусмотренных договором водопользования;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307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6) реал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изуют мероприятия по благоустройству зон отдыха с учетом требований водного, земельного, градостроительного законодательства, законодательства в области санитарно-эпидемиологического благополучия населения и в области осуществления туристской деятельности;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307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7) обеспечивают проведение мероприятий по охране водных объектов.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10. Администрация Чернянского района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случае, если водные объекты представляют угрозу причинения вреда жизни или здоровью человека, возникновения чрезвыча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йны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х ситуаций природного или техногенного характера, причинения вреда окружающей среде, объектам животного и растительного мира, обязана принять меры по ограничению, приостановлению или запрещению использования указанных водных объектов в рекреационных целях.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40"/>
        <w:ind w:firstLine="709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Ограничение использования</w:t>
      </w:r>
      <w:r>
        <w:rPr>
          <w:rFonts w:ascii="Times New Roman" w:hAnsi="Times New Roman" w:eastAsia="Times New Roman" w:cs="Times New Roman"/>
          <w:sz w:val="28"/>
          <w:szCs w:val="28"/>
          <w:shd w:val="clear" w:color="ffffff" w:themeColor="background1" w:fill="ffffff" w:themeFill="background1"/>
          <w:lang w:eastAsia="ru-RU"/>
        </w:rPr>
        <w:t xml:space="preserve"> водных объектов в рекреационных целях осуществляется в соответствии с муниципальным правовым актом.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11. Предоставление гражданам информации об ограничении использования водных объектов в рекреационных целях осуществляется </w:t>
      </w:r>
      <w:r>
        <w:rPr>
          <w:rFonts w:ascii="Times New Roman" w:hAnsi="Times New Roman" w:eastAsia="Times New Roman" w:cs="Times New Roman"/>
          <w:sz w:val="28"/>
          <w:szCs w:val="28"/>
          <w:shd w:val="clear" w:color="ffffff" w:themeColor="background1" w:fill="ffffff" w:themeFill="background1"/>
          <w:lang w:eastAsia="ru-RU"/>
        </w:rPr>
        <w:t xml:space="preserve">администрацией Чернянского района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через средства массовой информации (печатные издания, телевидение, радио, информационно-телекоммуникационную сеть «Интернет»), посредством специальных информационных знаков, устанавливаемых вдоль береговой линии водных объектов, и иными способами.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4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r>
    </w:p>
    <w:p>
      <w:pPr>
        <w:pStyle w:val="840"/>
        <w:ind w:left="708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VI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. Требования к определению зон купания и иных зон, необходимых </w:t>
        <w:br/>
        <w:t xml:space="preserve">для осуществления рекреационной деятельности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pStyle w:val="84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12. Места отдыха по функциональному назначению делятся на: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1) места рекреации с купанием;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2) места рекреации без купания;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3) места использования судов и/или технических средств активного отдыха;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 места массового выхода на лед.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40"/>
        <w:ind w:firstLine="708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/>
      <w:bookmarkStart w:id="8" w:name="bookmark7"/>
      <w:r>
        <w:rPr>
          <w:rFonts w:ascii="Times New Roman" w:hAnsi="Times New Roman" w:eastAsia="Times New Roman" w:cs="Times New Roman"/>
          <w:sz w:val="28"/>
          <w:szCs w:val="28"/>
        </w:rPr>
        <w:t xml:space="preserve">13. Зонирование территории внутри зоны отдыха осуществляется владельцем зоны отдыха с учётом требований действующего законодательства.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8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14. При определении зон купания учитываются требования, предусмотренные пунктами 3, 8 настоящих Правил, а также иными нормативными актами, в том числе по установлению запрета на движение маломерных судов в зоне купания в купальный сезон.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8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15. На территории пляжа 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 владельцем определяются зоны </w:t>
        <w:br/>
        <w:t xml:space="preserve">в соответствии с требованиями ГОСТ Р 55698-2013 «Туристские услуги. Услуги пляжей. Общие требования», утвержденными приказом Федерального агентства по техническому регулированию и метрологии от 8 ноября 2013 года № 1345-ст.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8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en-US"/>
        </w:rPr>
        <w:t xml:space="preserve">VII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. Требования к охране водных объектов</w:t>
      </w:r>
      <w:bookmarkEnd w:id="8"/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40"/>
        <w:ind w:firstLine="708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2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/>
      <w:bookmarkStart w:id="9" w:name="bookmark8"/>
      <w:r>
        <w:rPr>
          <w:rFonts w:ascii="Times New Roman" w:hAnsi="Times New Roman" w:eastAsia="Times New Roman" w:cs="Times New Roman"/>
          <w:sz w:val="28"/>
          <w:szCs w:val="28"/>
        </w:rPr>
        <w:t xml:space="preserve">16. Охрана водных объектов осуществляется в соответствии </w:t>
        <w:br/>
        <w:t xml:space="preserve">с требованиями Водного кодекса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Правилами охраны поверхностных водных объектов, утвержденными постановлением Правительства Российской Федерации от 10 сентября 2020 года № 1391, </w:t>
        <w:br/>
        <w:t xml:space="preserve">и другими нормативными правовыми актами, регулирующими отношения </w:t>
        <w:br/>
        <w:t xml:space="preserve">по использованию и охране водных объектов.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2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17. Мероприятия по охране водных объектов осуществляются </w:t>
        <w:br/>
        <w:t xml:space="preserve">с соблюдением тр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ебований водного законодательства, законодательства </w:t>
        <w:br/>
        <w:t xml:space="preserve">в области охраны окружающей среды, законодательства о рыболовстве </w:t>
        <w:br/>
        <w:t xml:space="preserve">и сохранении водных биологических ресурсов, законодательства в области обеспечения санитарно-эпидемиологического благополучия населения.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2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18. Мероприятия по охране водных объектов водопользователем осуществляются в соответствии с условиями договора водопользования.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2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19. Физические лица – посет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ители зоны отдыха обеспечивают недопущение причинения вреда водному объекту (его части) посредством загрязнения его бытовыми отходами, химическими или биологическими веществами, или иным способом, могущим повлечь причинение вреда состоянию водного объекта.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jc w:val="both"/>
        <w:spacing w:before="0" w:after="0" w:line="307" w:lineRule="exact"/>
        <w:widowControl w:val="off"/>
        <w:tabs>
          <w:tab w:val="clear" w:pos="708" w:leader="none"/>
          <w:tab w:val="left" w:pos="1226" w:leader="none"/>
        </w:tabs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</w:p>
    <w:p>
      <w:pPr>
        <w:pStyle w:val="840"/>
        <w:jc w:val="both"/>
        <w:spacing w:before="0" w:after="0" w:line="307" w:lineRule="exact"/>
        <w:widowControl w:val="off"/>
        <w:tabs>
          <w:tab w:val="clear" w:pos="708" w:leader="none"/>
          <w:tab w:val="left" w:pos="1226" w:leader="none"/>
        </w:tabs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</w:p>
    <w:p>
      <w:pPr>
        <w:pStyle w:val="840"/>
        <w:jc w:val="center"/>
        <w:spacing w:before="0" w:after="0" w:line="240" w:lineRule="auto"/>
        <w:widowControl w:val="off"/>
        <w:tabs>
          <w:tab w:val="clear" w:pos="708" w:leader="none"/>
          <w:tab w:val="left" w:pos="1226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en-US"/>
        </w:rPr>
        <w:tab/>
        <w:tab/>
        <w:t xml:space="preserve">VIII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. Иные требования, необходимые для использования </w:t>
        <w:br/>
        <w:t xml:space="preserve">и охраны водных объектов или их частей для рекреационных целей</w:t>
      </w:r>
      <w:bookmarkEnd w:id="9"/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40"/>
        <w:jc w:val="center"/>
        <w:spacing w:before="0" w:after="0" w:line="307" w:lineRule="exact"/>
        <w:widowControl w:val="off"/>
        <w:tabs>
          <w:tab w:val="clear" w:pos="708" w:leader="none"/>
          <w:tab w:val="left" w:pos="1226" w:leader="none"/>
        </w:tabs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20. Установление границ водоохранных зон и гра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ниц прибрежных защитных полос водных объектов, включая обозначение на местности посредством специальных информационных знаков на территориях, используемых для рекреационных целей, осуществляется в порядке, установленном Правительством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21. Водопользовател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и, в ведении которых находится водный объект </w:t>
        <w:br/>
        <w:t xml:space="preserve">или его участок, используемый в рекреационных целях, несут ответственность </w:t>
        <w:br/>
        <w:t xml:space="preserve">за состояние безопасности жизни людей на закрепленных за ними водных объектах в соответствии с законодательством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4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организации и ведении деятельности по использ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ованию водных объектов для рекреационных целей администрация Чернянского района  и водопользователи обязаны руководствоваться Федеральным законом от 3 февраля 2025 года № 4-ФЗ «О безопасности людей на водных объектах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40"/>
        <w:ind w:firstLine="0"/>
        <w:jc w:val="both"/>
        <w:spacing w:before="0" w:after="0" w:line="240" w:lineRule="auto"/>
        <w:widowControl w:val="off"/>
        <w:tabs>
          <w:tab w:val="clear" w:pos="708" w:leader="none"/>
          <w:tab w:val="left" w:pos="1024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22. Водопользователи в соответствии с договором водопользования обязаны: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4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02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1) обеспечить гражданам доступ к водному объекту общего пользования </w:t>
        <w:br/>
        <w:t xml:space="preserve">и разрешить бесплатно использовать его для личных и бытовых нужд;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02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2) осуществлять использование водного объекта общего пользования </w:t>
        <w:br/>
        <w:t xml:space="preserve">в соответствии с Правилами охраны жизни людей на водных объектах </w:t>
        <w:br/>
        <w:t xml:space="preserve">в Белгородской области, утвержденными поста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новление Правительства Белгородской области от 4 апреля 2022 года № 183-пп «Об утверждении Правил охраны жизни людей на водных объектах в Белгородской области и Правил пользования водными объектами для плавания на маломерных судах </w:t>
        <w:br/>
        <w:t xml:space="preserve">в Белгородской области»;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02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3) вести регулярное наблюдение за состоянием показателей качества воды в водном объекте в соответствии с программой регулярных наблюдений </w:t>
        <w:br/>
        <w:t xml:space="preserve">и результатов наблюдений за водным объектом и его водоохранной зоной;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02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4) содержать в исправном состоянии эксплуатируемые им очистные сооружения и расположенные на водном объекте гидротехнические и иные сооружения;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02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5) не осуществлять забор (изъятие) водных ресурсов из водного объекта;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02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6) ввести запрет на использование малом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ерных судов, водных мотоциклов и других технических средств, предназначенных для отдыха на водных объектах, водопой, а также установить иные запреты в случаях, предусмотренных законодательством Российской Федерации и законодательством Белгородской области;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43"/>
        <w:jc w:val="both"/>
        <w:spacing w:before="0" w:after="0" w:line="240" w:lineRule="auto"/>
        <w:widowControl w:val="off"/>
        <w:tabs>
          <w:tab w:val="clear" w:pos="708" w:leader="none"/>
          <w:tab w:val="left" w:pos="103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7) представлять в уполномоченные органы государственной власти </w:t>
        <w:br/>
        <w:t xml:space="preserve">и органы местного самоуправления отчеты об использовании и охране водных объектов, о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результатах наблюдений за водным объектом и его водоохранной зоной, о выполнении плана водоохранных мероприятий, проект плана водоохранных мероприятий на последующий год;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40"/>
        <w:jc w:val="both"/>
        <w:spacing w:before="0" w:after="0" w:line="240" w:lineRule="auto"/>
        <w:widowControl w:val="off"/>
        <w:tabs>
          <w:tab w:val="clear" w:pos="708" w:leader="none"/>
          <w:tab w:val="left" w:pos="1004" w:leader="none"/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8) своевременно осуществлять мероприятия по предупреждению </w:t>
        <w:br/>
        <w:t xml:space="preserve">и ликвидации аварийных и других чрезвычайных ситуаций на водном объекте;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40"/>
        <w:jc w:val="both"/>
        <w:spacing w:before="0" w:after="0" w:line="240" w:lineRule="auto"/>
        <w:widowControl w:val="off"/>
        <w:tabs>
          <w:tab w:val="clear" w:pos="708" w:leader="none"/>
          <w:tab w:val="left" w:pos="100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9)</w:t>
        <w:tab/>
        <w:t xml:space="preserve"> информировать уполномоченные органы государственной власти </w:t>
        <w:br/>
        <w:t xml:space="preserve">и органы местного самоуправления об авариях и иных чрезвычайных ситуациях на водном объекте;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40"/>
        <w:jc w:val="both"/>
        <w:spacing w:before="0" w:after="0" w:line="240" w:lineRule="auto"/>
        <w:widowControl w:val="off"/>
        <w:tabs>
          <w:tab w:val="clear" w:pos="708" w:leader="none"/>
          <w:tab w:val="left" w:pos="999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10)</w:t>
        <w:tab/>
        <w:t xml:space="preserve"> не осуществлять действий, приводящих к причинению вреда окружающей среде, ухудшению экологической обстановки на предоставленном в пользование водном объекте и прилегающих к нему территориях водоохранных зон и прибрежных защитных полос водных объектов;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40"/>
        <w:jc w:val="both"/>
        <w:spacing w:before="0" w:after="0" w:line="240" w:lineRule="auto"/>
        <w:widowControl w:val="off"/>
        <w:tabs>
          <w:tab w:val="clear" w:pos="708" w:leader="none"/>
          <w:tab w:val="left" w:pos="1042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11) не нарушать прав других водопользователей, осуществляющих совместное с водопользователем использование этого водного объекта.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ind w:firstLine="740"/>
        <w:jc w:val="both"/>
        <w:spacing w:before="0" w:after="0" w:line="240" w:lineRule="auto"/>
        <w:widowControl w:val="off"/>
        <w:tabs>
          <w:tab w:val="clear" w:pos="708" w:leader="none"/>
          <w:tab w:val="left" w:pos="1042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23. Лица, виновные в нарушении настоящих Правил, несут ответственность в соответствии с действующим законодательством.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40"/>
        <w:jc w:val="left"/>
        <w:spacing w:before="0" w:beforeAutospacing="0" w:after="160" w:afterAutospacing="0" w:line="259" w:lineRule="auto"/>
        <w:widowControl/>
      </w:pPr>
      <w:r/>
      <w:r/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720" w:footer="0" w:gutter="0"/>
      <w:pgNumType w:start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CJK SC">
    <w:panose1 w:val="020B0502040504020204"/>
  </w:font>
  <w:font w:name="FreeSans">
    <w:panose1 w:val="02000603000000000000"/>
  </w:font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  <w:rPr>
        <w14:ligatures w14:val="none"/>
      </w:rPr>
    </w:pPr>
    <w:r>
      <w:rPr>
        <w14:ligatures w14:val="none"/>
      </w:rPr>
    </w:r>
    <w:r>
      <w:rPr>
        <w14:ligatures w14:val="none"/>
      </w:rPr>
    </w:r>
    <w:r>
      <w:rPr>
        <w14:ligatures w14:val="none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0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904"/>
                            <w:rPr>
                              <w:rStyle w:val="875"/>
                            </w:rPr>
                          </w:pPr>
                          <w:r>
                            <w:rPr>
                              <w:rStyle w:val="875"/>
                            </w:rPr>
                            <w:fldChar w:fldCharType="begin"/>
                          </w:r>
                          <w:r>
                            <w:rPr>
                              <w:rStyle w:val="875"/>
                            </w:rPr>
                            <w:instrText xml:space="preserve"> PAGE </w:instrText>
                          </w:r>
                          <w:r>
                            <w:rPr>
                              <w:rStyle w:val="875"/>
                            </w:rPr>
                            <w:fldChar w:fldCharType="separate"/>
                          </w:r>
                          <w:r>
                            <w:rPr>
                              <w:rStyle w:val="875"/>
                            </w:rPr>
                            <w:t xml:space="preserve">0</w:t>
                          </w:r>
                          <w:r>
                            <w:rPr>
                              <w:rStyle w:val="875"/>
                            </w:rPr>
                            <w:fldChar w:fldCharType="end"/>
                          </w:r>
                          <w:r>
                            <w:rPr>
                              <w:rStyle w:val="875"/>
                            </w:rPr>
                          </w:r>
                          <w:r>
                            <w:rPr>
                              <w:rStyle w:val="875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-20;o:allowoverlap:true;o:allowincell:fals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ed="f" stroked="f" strokeweight="0.00pt">
              <w10:wrap type="square"/>
              <v:textbox inset="0,0,0,0">
                <w:txbxContent>
                  <w:p>
                    <w:pPr>
                      <w:pStyle w:val="904"/>
                      <w:rPr>
                        <w:rStyle w:val="875"/>
                      </w:rPr>
                    </w:pPr>
                    <w:r>
                      <w:rPr>
                        <w:rStyle w:val="875"/>
                      </w:rPr>
                      <w:fldChar w:fldCharType="begin"/>
                    </w:r>
                    <w:r>
                      <w:rPr>
                        <w:rStyle w:val="875"/>
                      </w:rPr>
                      <w:instrText xml:space="preserve"> PAGE </w:instrText>
                    </w:r>
                    <w:r>
                      <w:rPr>
                        <w:rStyle w:val="875"/>
                      </w:rPr>
                      <w:fldChar w:fldCharType="separate"/>
                    </w:r>
                    <w:r>
                      <w:rPr>
                        <w:rStyle w:val="875"/>
                      </w:rPr>
                      <w:t xml:space="preserve">0</w:t>
                    </w:r>
                    <w:r>
                      <w:rPr>
                        <w:rStyle w:val="875"/>
                      </w:rPr>
                      <w:fldChar w:fldCharType="end"/>
                    </w:r>
                    <w:r>
                      <w:rPr>
                        <w:rStyle w:val="875"/>
                      </w:rPr>
                    </w:r>
                    <w:r>
                      <w:rPr>
                        <w:rStyle w:val="875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713">
    <w:name w:val="No List"/>
    <w:uiPriority w:val="99"/>
    <w:semiHidden/>
    <w:unhideWhenUsed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0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41">
    <w:name w:val="Heading 1"/>
    <w:basedOn w:val="8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42">
    <w:name w:val="Heading 2"/>
    <w:basedOn w:val="84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43">
    <w:name w:val="Heading 3"/>
    <w:basedOn w:val="84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44">
    <w:name w:val="Heading 4"/>
    <w:basedOn w:val="84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45">
    <w:name w:val="Heading 5"/>
    <w:basedOn w:val="84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46">
    <w:name w:val="Heading 6"/>
    <w:basedOn w:val="8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47">
    <w:name w:val="Heading 7"/>
    <w:basedOn w:val="8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48">
    <w:name w:val="Heading 8"/>
    <w:basedOn w:val="84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49">
    <w:name w:val="Heading 9"/>
    <w:basedOn w:val="8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0">
    <w:name w:val="Heading 1 Char"/>
    <w:basedOn w:val="873"/>
    <w:uiPriority w:val="9"/>
    <w:qFormat/>
    <w:rPr>
      <w:rFonts w:ascii="Arial" w:hAnsi="Arial" w:eastAsia="Arial" w:cs="Arial"/>
      <w:sz w:val="40"/>
      <w:szCs w:val="40"/>
    </w:rPr>
  </w:style>
  <w:style w:type="character" w:styleId="851">
    <w:name w:val="Heading 2 Char"/>
    <w:basedOn w:val="873"/>
    <w:uiPriority w:val="9"/>
    <w:qFormat/>
    <w:rPr>
      <w:rFonts w:ascii="Arial" w:hAnsi="Arial" w:eastAsia="Arial" w:cs="Arial"/>
      <w:sz w:val="34"/>
    </w:rPr>
  </w:style>
  <w:style w:type="character" w:styleId="852">
    <w:name w:val="Heading 3 Char"/>
    <w:basedOn w:val="873"/>
    <w:uiPriority w:val="9"/>
    <w:qFormat/>
    <w:rPr>
      <w:rFonts w:ascii="Arial" w:hAnsi="Arial" w:eastAsia="Arial" w:cs="Arial"/>
      <w:sz w:val="30"/>
      <w:szCs w:val="30"/>
    </w:rPr>
  </w:style>
  <w:style w:type="character" w:styleId="853">
    <w:name w:val="Heading 4 Char"/>
    <w:basedOn w:val="87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54">
    <w:name w:val="Heading 5 Char"/>
    <w:basedOn w:val="873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55">
    <w:name w:val="Heading 6 Char"/>
    <w:basedOn w:val="87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56">
    <w:name w:val="Heading 7 Char"/>
    <w:basedOn w:val="87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57">
    <w:name w:val="Heading 8 Char"/>
    <w:basedOn w:val="873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58">
    <w:name w:val="Heading 9 Char"/>
    <w:basedOn w:val="87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59">
    <w:name w:val="Title Char"/>
    <w:basedOn w:val="873"/>
    <w:uiPriority w:val="10"/>
    <w:qFormat/>
    <w:rPr>
      <w:sz w:val="48"/>
      <w:szCs w:val="48"/>
    </w:rPr>
  </w:style>
  <w:style w:type="character" w:styleId="860">
    <w:name w:val="Subtitle Char"/>
    <w:basedOn w:val="873"/>
    <w:uiPriority w:val="11"/>
    <w:qFormat/>
    <w:rPr>
      <w:sz w:val="24"/>
      <w:szCs w:val="24"/>
    </w:rPr>
  </w:style>
  <w:style w:type="character" w:styleId="861">
    <w:name w:val="Quote Char"/>
    <w:uiPriority w:val="29"/>
    <w:qFormat/>
    <w:rPr>
      <w:i/>
    </w:rPr>
  </w:style>
  <w:style w:type="character" w:styleId="862">
    <w:name w:val="Intense Quote Char"/>
    <w:uiPriority w:val="30"/>
    <w:qFormat/>
    <w:rPr>
      <w:i/>
    </w:rPr>
  </w:style>
  <w:style w:type="character" w:styleId="863">
    <w:name w:val="Header Char"/>
    <w:basedOn w:val="873"/>
    <w:uiPriority w:val="99"/>
    <w:qFormat/>
  </w:style>
  <w:style w:type="character" w:styleId="864">
    <w:name w:val="Footer Char"/>
    <w:basedOn w:val="873"/>
    <w:uiPriority w:val="99"/>
    <w:qFormat/>
  </w:style>
  <w:style w:type="character" w:styleId="865">
    <w:name w:val="Caption Char"/>
    <w:uiPriority w:val="99"/>
    <w:qFormat/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character" w:styleId="867">
    <w:name w:val="Footnote Text Char"/>
    <w:uiPriority w:val="99"/>
    <w:qFormat/>
    <w:rPr>
      <w:sz w:val="18"/>
    </w:rPr>
  </w:style>
  <w:style w:type="character" w:styleId="868">
    <w:name w:val="Символ сноски"/>
    <w:uiPriority w:val="99"/>
    <w:unhideWhenUsed/>
    <w:qFormat/>
    <w:rPr>
      <w:vertAlign w:val="superscript"/>
    </w:rPr>
  </w:style>
  <w:style w:type="character" w:styleId="869">
    <w:name w:val="footnote reference"/>
    <w:rPr>
      <w:vertAlign w:val="superscript"/>
    </w:rPr>
  </w:style>
  <w:style w:type="character" w:styleId="870">
    <w:name w:val="Endnote Text Char"/>
    <w:uiPriority w:val="99"/>
    <w:qFormat/>
    <w:rPr>
      <w:sz w:val="20"/>
    </w:rPr>
  </w:style>
  <w:style w:type="character" w:styleId="87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72">
    <w:name w:val="endnote reference"/>
    <w:rPr>
      <w:vertAlign w:val="superscript"/>
    </w:rPr>
  </w:style>
  <w:style w:type="character" w:styleId="873" w:default="1">
    <w:name w:val="Default Paragraph Font"/>
    <w:uiPriority w:val="1"/>
    <w:semiHidden/>
    <w:unhideWhenUsed/>
    <w:qFormat/>
  </w:style>
  <w:style w:type="character" w:styleId="874" w:customStyle="1">
    <w:name w:val="Верхний колонтитул Знак"/>
    <w:basedOn w:val="873"/>
    <w:uiPriority w:val="99"/>
    <w:semiHidden/>
    <w:qFormat/>
  </w:style>
  <w:style w:type="character" w:styleId="875">
    <w:name w:val="page number"/>
    <w:rPr>
      <w:rFonts w:cs="Times New Roman"/>
    </w:rPr>
  </w:style>
  <w:style w:type="character" w:styleId="876" w:customStyle="1">
    <w:name w:val="Текст выноски Знак"/>
    <w:basedOn w:val="873"/>
    <w:uiPriority w:val="99"/>
    <w:semiHidden/>
    <w:qFormat/>
    <w:rPr>
      <w:rFonts w:ascii="Segoe UI" w:hAnsi="Segoe UI" w:cs="Segoe UI"/>
      <w:sz w:val="18"/>
      <w:szCs w:val="18"/>
    </w:rPr>
  </w:style>
  <w:style w:type="paragraph" w:styleId="877">
    <w:name w:val="Заголовок"/>
    <w:basedOn w:val="840"/>
    <w:next w:val="878"/>
    <w:qFormat/>
    <w:pPr>
      <w:keepNext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878">
    <w:name w:val="Body Text"/>
    <w:basedOn w:val="840"/>
    <w:pPr>
      <w:spacing w:before="0" w:after="140" w:line="276" w:lineRule="auto"/>
    </w:pPr>
  </w:style>
  <w:style w:type="paragraph" w:styleId="879">
    <w:name w:val="List"/>
    <w:basedOn w:val="878"/>
    <w:rPr>
      <w:rFonts w:ascii="PT Astra Serif" w:hAnsi="PT Astra Serif" w:cs="FreeSans"/>
    </w:rPr>
  </w:style>
  <w:style w:type="paragraph" w:styleId="880">
    <w:name w:val="Caption"/>
    <w:basedOn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81">
    <w:name w:val="Указатель"/>
    <w:basedOn w:val="840"/>
    <w:qFormat/>
    <w:pPr>
      <w:suppressLineNumbers/>
    </w:pPr>
    <w:rPr>
      <w:rFonts w:ascii="PT Astra Serif" w:hAnsi="PT Astra Serif" w:cs="FreeSans"/>
    </w:rPr>
  </w:style>
  <w:style w:type="paragraph" w:styleId="882">
    <w:name w:val="List Paragraph"/>
    <w:basedOn w:val="840"/>
    <w:uiPriority w:val="34"/>
    <w:qFormat/>
    <w:pPr>
      <w:contextualSpacing/>
      <w:ind w:left="720"/>
      <w:spacing w:before="0" w:after="160"/>
    </w:pPr>
  </w:style>
  <w:style w:type="paragraph" w:styleId="883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84">
    <w:name w:val="Title"/>
    <w:basedOn w:val="84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85">
    <w:name w:val="Subtitle"/>
    <w:basedOn w:val="840"/>
    <w:uiPriority w:val="11"/>
    <w:qFormat/>
    <w:pPr>
      <w:spacing w:before="200" w:after="200"/>
    </w:pPr>
    <w:rPr>
      <w:sz w:val="24"/>
      <w:szCs w:val="24"/>
    </w:rPr>
  </w:style>
  <w:style w:type="paragraph" w:styleId="886">
    <w:name w:val="Quote"/>
    <w:basedOn w:val="840"/>
    <w:uiPriority w:val="29"/>
    <w:qFormat/>
    <w:pPr>
      <w:ind w:left="720" w:right="720"/>
    </w:pPr>
    <w:rPr>
      <w:i/>
    </w:rPr>
  </w:style>
  <w:style w:type="paragraph" w:styleId="887">
    <w:name w:val="Intense Quote"/>
    <w:basedOn w:val="840"/>
    <w:uiPriority w:val="30"/>
    <w:qFormat/>
    <w:pPr>
      <w:ind w:left="720" w:right="72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88">
    <w:name w:val="Header and Footer"/>
    <w:basedOn w:val="840"/>
    <w:qFormat/>
  </w:style>
  <w:style w:type="paragraph" w:styleId="889">
    <w:name w:val="Footer"/>
    <w:basedOn w:val="840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90">
    <w:name w:val="footnote text"/>
    <w:basedOn w:val="84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91">
    <w:name w:val="endnote text"/>
    <w:basedOn w:val="84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92">
    <w:name w:val="toc 1"/>
    <w:basedOn w:val="840"/>
    <w:uiPriority w:val="39"/>
    <w:unhideWhenUsed/>
    <w:pPr>
      <w:ind w:left="0" w:right="0" w:firstLine="0"/>
      <w:spacing w:before="0" w:after="57"/>
    </w:pPr>
  </w:style>
  <w:style w:type="paragraph" w:styleId="893">
    <w:name w:val="toc 2"/>
    <w:basedOn w:val="840"/>
    <w:uiPriority w:val="39"/>
    <w:unhideWhenUsed/>
    <w:pPr>
      <w:ind w:left="283" w:right="0" w:firstLine="0"/>
      <w:spacing w:before="0" w:after="57"/>
    </w:pPr>
  </w:style>
  <w:style w:type="paragraph" w:styleId="894">
    <w:name w:val="toc 3"/>
    <w:basedOn w:val="840"/>
    <w:uiPriority w:val="39"/>
    <w:unhideWhenUsed/>
    <w:pPr>
      <w:ind w:left="567" w:right="0" w:firstLine="0"/>
      <w:spacing w:before="0" w:after="57"/>
    </w:pPr>
  </w:style>
  <w:style w:type="paragraph" w:styleId="895">
    <w:name w:val="toc 4"/>
    <w:basedOn w:val="840"/>
    <w:uiPriority w:val="39"/>
    <w:unhideWhenUsed/>
    <w:pPr>
      <w:ind w:left="850" w:right="0" w:firstLine="0"/>
      <w:spacing w:before="0" w:after="57"/>
    </w:pPr>
  </w:style>
  <w:style w:type="paragraph" w:styleId="896">
    <w:name w:val="toc 5"/>
    <w:basedOn w:val="840"/>
    <w:uiPriority w:val="39"/>
    <w:unhideWhenUsed/>
    <w:pPr>
      <w:ind w:left="1134" w:right="0" w:firstLine="0"/>
      <w:spacing w:before="0" w:after="57"/>
    </w:pPr>
  </w:style>
  <w:style w:type="paragraph" w:styleId="897">
    <w:name w:val="toc 6"/>
    <w:basedOn w:val="840"/>
    <w:uiPriority w:val="39"/>
    <w:unhideWhenUsed/>
    <w:pPr>
      <w:ind w:left="1417" w:right="0" w:firstLine="0"/>
      <w:spacing w:before="0" w:after="57"/>
    </w:pPr>
  </w:style>
  <w:style w:type="paragraph" w:styleId="898">
    <w:name w:val="toc 7"/>
    <w:basedOn w:val="840"/>
    <w:uiPriority w:val="39"/>
    <w:unhideWhenUsed/>
    <w:pPr>
      <w:ind w:left="1701" w:right="0" w:firstLine="0"/>
      <w:spacing w:before="0" w:after="57"/>
    </w:pPr>
  </w:style>
  <w:style w:type="paragraph" w:styleId="899">
    <w:name w:val="toc 8"/>
    <w:basedOn w:val="840"/>
    <w:uiPriority w:val="39"/>
    <w:unhideWhenUsed/>
    <w:pPr>
      <w:ind w:left="1984" w:right="0" w:firstLine="0"/>
      <w:spacing w:before="0" w:after="57"/>
    </w:pPr>
  </w:style>
  <w:style w:type="paragraph" w:styleId="900">
    <w:name w:val="toc 9"/>
    <w:basedOn w:val="840"/>
    <w:uiPriority w:val="39"/>
    <w:unhideWhenUsed/>
    <w:pPr>
      <w:ind w:left="2268" w:right="0" w:firstLine="0"/>
      <w:spacing w:before="0" w:after="57"/>
    </w:pPr>
  </w:style>
  <w:style w:type="paragraph" w:styleId="901">
    <w:name w:val="index heading"/>
    <w:basedOn w:val="877"/>
  </w:style>
  <w:style w:type="paragraph" w:styleId="902">
    <w:name w:val="TOC Heading"/>
    <w:uiPriority w:val="39"/>
    <w:unhideWhenUsed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903">
    <w:name w:val="table of figures"/>
    <w:basedOn w:val="840"/>
    <w:uiPriority w:val="99"/>
    <w:unhideWhenUsed/>
    <w:pPr>
      <w:spacing w:before="0" w:after="0" w:afterAutospacing="0"/>
    </w:pPr>
  </w:style>
  <w:style w:type="paragraph" w:styleId="904">
    <w:name w:val="Header"/>
    <w:basedOn w:val="840"/>
    <w:uiPriority w:val="99"/>
    <w:semiHidden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05">
    <w:name w:val="Balloon Text"/>
    <w:basedOn w:val="840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06">
    <w:name w:val="Содержимое врезки"/>
    <w:basedOn w:val="840"/>
    <w:qFormat/>
  </w:style>
  <w:style w:type="numbering" w:styleId="907" w:default="1">
    <w:name w:val="Без списка"/>
    <w:uiPriority w:val="99"/>
    <w:semiHidden/>
    <w:unhideWhenUsed/>
    <w:qFormat/>
  </w:style>
  <w:style w:type="table" w:styleId="90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Пушкина Яна Анатольевна</dc:creator>
  <dc:description/>
  <dc:language>ru-RU</dc:language>
  <cp:revision>17</cp:revision>
  <dcterms:created xsi:type="dcterms:W3CDTF">2025-03-04T13:28:00Z</dcterms:created>
  <dcterms:modified xsi:type="dcterms:W3CDTF">2025-04-01T08:43:28Z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