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ти «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«Об утверждении Правил использования водных объектов для рекреационных целей на территории Чернянского района»</w:t>
            </w:r>
            <w:r/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che-upr@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ch.belregion.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40"/>
                <w:szCs w:val="40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 11</w:t>
            </w:r>
            <w:r>
              <w:rPr>
                <w:sz w:val="24"/>
                <w:szCs w:val="24"/>
                <w:highlight w:val="white"/>
              </w:rPr>
              <w:t xml:space="preserve"> февраля </w:t>
            </w:r>
            <w:r>
              <w:rPr>
                <w:sz w:val="24"/>
                <w:szCs w:val="24"/>
                <w:highlight w:val="white"/>
              </w:rPr>
              <w:t xml:space="preserve">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21 февраля</w:t>
            </w:r>
            <w:r>
              <w:rPr>
                <w:sz w:val="24"/>
                <w:szCs w:val="24"/>
                <w:highlight w:val="white"/>
              </w:rPr>
              <w:t xml:space="preserve"> 2025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40"/>
                <w:szCs w:val="40"/>
                <w:highlight w:val="yellow"/>
              </w:rPr>
            </w:r>
            <w:r>
              <w:rPr>
                <w:sz w:val="40"/>
                <w:szCs w:val="40"/>
                <w:highlight w:val="yellow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  <w:highlight w:val="white"/>
              </w:rPr>
              <w:t xml:space="preserve">«О создании </w:t>
            </w:r>
            <w:r>
              <w:rPr>
                <w:sz w:val="24"/>
                <w:szCs w:val="24"/>
                <w:highlight w:val="white"/>
              </w:rPr>
              <w:t xml:space="preserve">комиссии по обследованию посевов, посадок и урожая сельскохозяйственных культур, </w:t>
            </w:r>
            <w:r>
              <w:rPr>
                <w:sz w:val="24"/>
                <w:szCs w:val="24"/>
                <w:highlight w:val="white"/>
              </w:rPr>
              <w:t xml:space="preserve">включая посадки и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урожай многолетних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насаждений</w:t>
            </w:r>
            <w:r>
              <w:rPr>
                <w:sz w:val="24"/>
                <w:szCs w:val="24"/>
                <w:highlight w:val="white"/>
              </w:rPr>
              <w:t xml:space="preserve">, пострадавших в связи с неблагоприятными климатическими условиями или чрезвычайной ситуацией природного характера на территории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Белгородской области»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</w:t>
            </w:r>
            <w:r>
              <w:rPr>
                <w:sz w:val="24"/>
                <w:szCs w:val="24"/>
                <w:highlight w:val="white"/>
              </w:rPr>
              <w:t xml:space="preserve">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https://admchern.gosuslugi.ru/spravochnik/ekonomika/antimonopolnyy-komplaens/dokumenty-analiz-proektov-normativnyh-pravovyh-aktov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Контактное лицо: </w:t>
            </w:r>
            <w:r>
              <w:rPr>
                <w:i/>
                <w:sz w:val="24"/>
                <w:szCs w:val="24"/>
                <w:highlight w:val="white"/>
              </w:rPr>
              <w:t xml:space="preserve">Бирюков Владимир Викторович, </w:t>
            </w:r>
            <w:r>
              <w:rPr>
                <w:i/>
                <w:sz w:val="24"/>
                <w:szCs w:val="24"/>
                <w:highlight w:val="white"/>
              </w:rPr>
              <w:t xml:space="preserve">начальник отдела </w:t>
            </w:r>
            <w:r>
              <w:rPr>
                <w:i/>
                <w:sz w:val="24"/>
                <w:szCs w:val="24"/>
                <w:highlight w:val="white"/>
              </w:rPr>
              <w:t xml:space="preserve">природопользования, защиты почв и земледелия управления сельского хозяйства и природопользования 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4-</w:t>
            </w:r>
            <w:r>
              <w:rPr>
                <w:i/>
                <w:sz w:val="24"/>
                <w:szCs w:val="24"/>
                <w:highlight w:val="none"/>
              </w:rPr>
              <w:t xml:space="preserve">52.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1"/>
    <w:uiPriority w:val="34"/>
    <w:qFormat/>
    <w:pPr>
      <w:contextualSpacing/>
      <w:ind w:left="720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 w:customStyle="1">
    <w:name w:val="Стиль1"/>
    <w:basedOn w:val="831"/>
    <w:link w:val="837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6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7" w:customStyle="1">
    <w:name w:val="Стиль1 Знак"/>
    <w:basedOn w:val="832"/>
    <w:link w:val="835"/>
    <w:rPr>
      <w:rFonts w:ascii="Times New Roman" w:hAnsi="Times New Roman"/>
      <w:sz w:val="24"/>
      <w:szCs w:val="24"/>
    </w:rPr>
  </w:style>
  <w:style w:type="table" w:styleId="838">
    <w:name w:val="Table Grid"/>
    <w:basedOn w:val="833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9">
    <w:name w:val="Hyperlink"/>
    <w:basedOn w:val="83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2020-06-04T07:29:00Z</dcterms:created>
  <dcterms:modified xsi:type="dcterms:W3CDTF">2025-02-11T11:46:09Z</dcterms:modified>
</cp:coreProperties>
</file>