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75"/>
              <w:jc w:val="left"/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сти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</w:rPr>
              <w:t xml:space="preserve">«Об утверждении Правил использования водных объектов для рекреационных целей на территории Чернянского района»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 che-upr</w:t>
            </w:r>
            <w:r>
              <w:t xml:space="preserve">@</w:t>
            </w:r>
            <w:r>
              <w:rPr>
                <w:lang w:val="en-US"/>
              </w:rPr>
              <w:t xml:space="preserve">ch.belregion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>
              <w:t xml:space="preserve">.</w:t>
            </w:r>
            <w:r/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11</w:t>
            </w:r>
            <w:r>
              <w:rPr>
                <w:highlight w:val="white"/>
              </w:rPr>
              <w:t xml:space="preserve">февраля </w:t>
            </w: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</w:t>
            </w:r>
            <w:r>
              <w:rPr>
                <w:highlight w:val="white"/>
              </w:rPr>
              <w:t xml:space="preserve">21 февраля</w:t>
            </w:r>
            <w:r>
              <w:rPr>
                <w:highlight w:val="white"/>
              </w:rPr>
              <w:t xml:space="preserve"> 2025</w:t>
            </w:r>
            <w:r>
              <w:rPr>
                <w:highlight w:val="white"/>
              </w:rPr>
              <w:t xml:space="preserve">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2025-02-11T11:42:41Z</dcterms:modified>
</cp:coreProperties>
</file>