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869"/>
        <w:tblW w:w="54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 xml:space="preserve">Приложение № </w:t>
            </w: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2</w:t>
            </w:r>
          </w:p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eastAsia="Tinos" w:cs="Times New Roman"/>
                <w:b/>
                <w:bCs/>
                <w:strike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 xml:space="preserve">к </w:t>
            </w: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постановлению администрации муниципального района</w:t>
            </w:r>
          </w:p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eastAsia="Tinos" w:cs="Times New Roman"/>
                <w:b/>
                <w:bCs/>
                <w:strike w:val="false"/>
                <w:dstrike w:val="false"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«Чернянский район»</w:t>
            </w:r>
          </w:p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trike w:val="false"/>
                <w:dstrike w:val="false"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Белгородской области</w:t>
            </w:r>
          </w:p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от «__» __________ 2024 г. № _______</w:t>
            </w:r>
          </w:p>
        </w:tc>
      </w:tr>
    </w:tbl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red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highlight w:val="red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eastAsia="Tinos" w:cs="Times New Roman" w:ascii="Times New Roman" w:hAnsi="Times New Roman"/>
          <w:b/>
          <w:bCs/>
          <w:color w:val="000000"/>
          <w:sz w:val="28"/>
          <w:szCs w:val="28"/>
        </w:rPr>
        <w:t>Порядок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highlight w:val="none"/>
        </w:rPr>
      </w:pP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t>предоставления меры поддержки</w:t>
      </w:r>
      <w:r>
        <w:rPr>
          <w:rFonts w:eastAsia="Tinos" w:cs="Times New Roman"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t xml:space="preserve">по первоочередному праву </w:t>
        <w:br/>
        <w:t xml:space="preserve">на зачисление детей участников </w:t>
      </w:r>
      <w:r>
        <w:rPr>
          <w:rFonts w:eastAsia="Tinos" w:cs="Times New Roman" w:ascii="Times New Roman" w:hAnsi="Times New Roman"/>
          <w:b/>
          <w:color w:val="000000" w:themeColor="text1"/>
          <w:sz w:val="28"/>
          <w:szCs w:val="28"/>
          <w:highlight w:val="white"/>
        </w:rPr>
        <w:t xml:space="preserve">специальной военной операции </w:t>
      </w: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br/>
        <w:t xml:space="preserve">в группы продлённого дня и круглосуточного пребывания </w:t>
        <w:br/>
        <w:t>в муниципальных дошкольных образовательных организациях Чернянского района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eastAsia="Tinos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eastAsia="Tinos" w:cs="Tinos" w:ascii="Tinos" w:hAnsi="Tinos"/>
          <w:b/>
          <w:bCs/>
          <w:sz w:val="28"/>
          <w:szCs w:val="28"/>
        </w:rPr>
        <w:t>Раздел 1. Общие положения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eastAsia="Tinos" w:cs="Times New Roman"/>
          <w:b w:val="false"/>
          <w:bCs w:val="false"/>
          <w:color w:val="000000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Настоящий Порядок предоставления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меры поддержки по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первоочередному праву на зачисление детей участников специальной военной операции в группы продлённого дня и круглосуточного пребывания в муниципальных дошкольных образовательных организациях Чернянского района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>(далее – Порядок)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, устанавливает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правила,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условия и сроки предоставления участникам специальной военной операции и членам их семей таких мер поддержки как предоставление первоочередного права на зачисление в группы продлённого  дня и круглосуточного пребывания в муниципальных дошкольных образовательных организациях Чернянского района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>детей участников специальной военной операции, обучающихся в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 xml:space="preserve"> муниципальных образовательных организациях Чернянского района, реализующих образовательную программу дошкольного образования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 (далее – мера поддержки).</w:t>
      </w:r>
    </w:p>
    <w:p>
      <w:pPr>
        <w:pStyle w:val="ListParagraph"/>
        <w:numPr>
          <w:ilvl w:val="0"/>
          <w:numId w:val="1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z w:val="28"/>
          <w:szCs w:val="28"/>
        </w:rPr>
        <w:t xml:space="preserve">Для целей настоящего Порядка под участниками специальной военной операции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 xml:space="preserve">(далее – участники СВО) </w:t>
      </w:r>
      <w:r>
        <w:rPr>
          <w:rFonts w:eastAsia="Tinos" w:cs="Times New Roman" w:ascii="Times New Roman" w:hAnsi="Times New Roman"/>
          <w:sz w:val="28"/>
          <w:szCs w:val="28"/>
        </w:rPr>
        <w:t>понимаются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 следующие категории граждан Российской Федерации, проживающие на территории Чернянского района: 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1) призванные на военную службу по мобилизации в вооружённые Силы Российской Федерации или направленные для прохождения службы </w:t>
        <w:br/>
        <w:t xml:space="preserve">в войска национальной Гвардии Российской Федерации на должностях, </w:t>
        <w:br/>
        <w:t>по которым предусмотрено присвоение специальных званий полиции, по мобилизации;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2) принимающие участие в специальной военной операции </w:t>
        <w:br/>
        <w:t>на территориях Украины, Донецкой Народной Республики, Луганской Народной Республики, Запорожской области и Херсонской области;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а)проходящие военную службу в Вооружённых Силах Российской Федерации по контракту, или проходящие военную службу в войсках национальной Гвардии Российской Федерации;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б)заключившие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в) заключившие контракт (имеющие иные правоотношения) </w:t>
        <w:br/>
        <w:t xml:space="preserve">с организацией, содействующей выполнению задач, возложенных </w:t>
        <w:br/>
        <w:t>на Вооружённые Силы Российской Федерации;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в воинских формированиях и органах, указанных в пункте 6 статьи 1 Федерального закона от 31 мая 1996 года № 61-ФЗ «Об обороне».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z w:val="28"/>
          <w:szCs w:val="28"/>
        </w:rPr>
        <w:t xml:space="preserve">4. Мера поддержки предоставляется участникам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>СВО</w:t>
      </w:r>
      <w:r>
        <w:rPr>
          <w:rFonts w:eastAsia="Tinos" w:cs="Times New Roman" w:ascii="Times New Roman" w:hAnsi="Times New Roman"/>
          <w:sz w:val="28"/>
          <w:szCs w:val="28"/>
        </w:rPr>
        <w:t xml:space="preserve"> и членам их семей 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на период участия лиц, указанных в пункте 2 Порядка, в специальной военной операции.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Мера поддержки членам семей лиц, указанных в пункте 2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 при выполнении задач в ходе проведения специальной военной операции, предоставляется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</w:rPr>
        <w:t xml:space="preserve"> 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на весь период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>обучения детей участников СВО в муниципальных образовательных организациях Чернянского района, реализующих образовательную программу дошкольного образования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 (далее –образовательные организации).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4.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Решение об открытии группы продлённого дня или круглосуточного пребывания и о режиме пребывания в ней детей принимается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приказом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образовательной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организации.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 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6. Меры поддержки предоставляются по заявлению родителя (законного представителя) ребёнка участника СВО (далее – заявитель).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  <w:t>Раздел 2. Порядок обращения за предоставлением меры поддержки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7. Заявители обращаются за предоставлением первоочередного права </w:t>
        <w:br/>
        <w:t xml:space="preserve">на зачисление в группы продлённого дня и круглосуточного пребывания </w:t>
        <w:br/>
        <w:t xml:space="preserve">к руководителю образовательной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организации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,  в которой обучается ребёнок участника СВО.</w:t>
      </w:r>
    </w:p>
    <w:p>
      <w:pPr>
        <w:pStyle w:val="Normal"/>
        <w:spacing w:lineRule="auto" w:line="240" w:before="0" w:afterAutospacing="0" w:after="0"/>
        <w:ind w:left="0" w:right="0" w:firstLine="595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8. Для получения меры поддержки заявитель представляет </w:t>
        <w:br/>
        <w:t xml:space="preserve">в образовательную организацию, помимо документов, необходимых для зачисления в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образовательную организацию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, следующие документы: 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заявление на оказание услуги по уходу и присмотру за детьми дошкольного возраста в группах продленного дня и круглосуточного пребывания;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1304" w:right="0" w:hanging="36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документ, удостоверяющий личность заявителя;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документ, подтверждающий родство ребенка,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обучающегося в образовательной организации,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с участником СВО (свидетельство о рождении ребёнка, свидетельство об усыновлении (удочерении) ребёнка, свидетельство об установлении отцовства в отношении ребёнка).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документ, подтверждающий статус законного представителя (опекунское удостоверение, решение органа опеки и попечительства о назначении опеки или попечительства над ребёнком);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    5)  документ о прохождении военной службы участником СВО, подтверждающий его принадлежность к лицам, указанным в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пункте 2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yellow"/>
        </w:rPr>
        <w:t xml:space="preserve">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Порядка (справка военного комиссариата, справка (приказ) воинской части);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   6)  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 контузии) или заболевания, полученных при выполнении задач в ходе проведения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7) документ, подтверждающий смерть (гибель) участника СВО при выполнении задач специальной военной операции (предоставляется в случае смерти (гибели) участника СВО при выполнении задач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8) документ, подтверждающий смерть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 (предоставляется в 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9) согласие на обработку персональных данных.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Лицо, подавшее заявление, несёт ответственность в соответствии с законодательством Российской Федерации за достоверность сведений, содержащихся в представляемых им документах.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center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  <w:t xml:space="preserve">Раздел 3. Условия предоставления (отказа в предоставлении) </w:t>
        <w:br/>
        <w:t>меры поддержки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left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9. В случае, если обращение для получения первоочередного права </w:t>
        <w:br/>
        <w:t xml:space="preserve">на зачисление в группы продлённого дня и круглосуточного пребывания </w:t>
        <w:br/>
        <w:t xml:space="preserve">в образовательных организациях поступило позднее 1 сентября текущего учебного года, при этом в образовательной организации группы продлённого дня и круглосуточного пребывания </w:t>
        <w:br/>
        <w:t>не сформирована, руководитель образовательной организации в течение 5  (пяти) рабочих дней со дня обращения обеспечивает организацию группы продлённого дня и круглосуточного пребывания.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10. Решение о первоочередном зачислении (об отказе в первоочередном зачислении) в группу продлённого дня и круглосуточного пребывания детей участников СВО, оформляется приказом образовательной организации не позднее 5 (пяти) рабочих дней со дня обращения заявителя.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11. Основанием для отказа в предоставлении первоочередного права </w:t>
        <w:br/>
        <w:t xml:space="preserve">на зачисление в группу продлённого дня и круглосуточного пребывания </w:t>
        <w:br/>
        <w:t>в  образовательных организациях детей участников СВО, являются: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1) предоставление заявителем недостоверных сведений;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2) предоставление не в полном объёме или непредоставление документов, указанных в пункте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 xml:space="preserve">  8раздела  2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>Порядка;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3) отсутствие статуса участника СВО, указанного в пункте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 xml:space="preserve">2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>раздела 1 порядка.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4. Заявитель ставится в известность о принятом решении в течение 5 (пяти) рабочих дней со дня его принятия.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12. Родитель (законный представитель) вправе повторно обратиться </w:t>
        <w:br/>
        <w:t>с заявлением об оказании меры поддержки после устранения причин, послуживших основанием для отказа.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13. Учёт предоставления указанной в настоящем Порядке меры поддержки осуществляется соответствующей образовательной организацией.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highlight w:val="whit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>14. Финансирование расходов, связанных с предоставлением данной меры поддержки, осуществляется за счет Чернянского районного бюджета.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  <w:rPr>
        <w:dstrike w:val="false"/>
        <w:strike w:val="false"/>
        <w:highlight w:val="whit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3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64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595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595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595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2" w:customStyle="1">
    <w:name w:val="Обычный1"/>
    <w:qFormat/>
    <w:pPr>
      <w:keepNext w:val="false"/>
      <w:keepLines w:val="false"/>
      <w:pageBreakBefore w:val="false"/>
      <w:widowControl w:val="false"/>
      <w:pBdr/>
      <w:shd w:val="nil"/>
      <w:bidi w:val="0"/>
      <w:spacing w:lineRule="auto" w:line="300" w:beforeAutospacing="0" w:before="0" w:afterAutospacing="0" w:after="0"/>
      <w:ind w:left="0" w:right="0" w:firstLine="36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4"/>
      <w:sz w:val="24"/>
      <w:szCs w:val="20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LibreOffice/7.5.6.2$Linux_X86_64 LibreOffice_project/50$Build-2</Application>
  <AppVersion>15.0000</AppVersion>
  <Pages>4</Pages>
  <Words>981</Words>
  <Characters>7181</Characters>
  <CharactersWithSpaces>8172</CharactersWithSpaces>
  <Paragraphs>44</Paragraphs>
  <Company>Wg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2017-05-11T10:31:00Z</dcterms:created>
  <dc:creator>FoM</dc:creator>
  <dc:description/>
  <dc:language>ru-RU</dc:language>
  <cp:lastModifiedBy/>
  <cp:lastPrinted>2024-11-18T15:55:55Z</cp:lastPrinted>
  <dcterms:modified xsi:type="dcterms:W3CDTF">2024-11-18T17:02:02Z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