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40"/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Управление  организационно-контрольной и кадровой работы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 w:themeColor="text1"/>
                <w:sz w:val="20"/>
                <w:szCs w:val="20"/>
                <w:lang w:val="ru-RU" w:eastAsia="ru-RU" w:bidi="ar-SA"/>
              </w:rPr>
              <w:t xml:space="preserve">(структурного подразделения администрации района)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r>
          </w:p>
          <w:p>
            <w:pPr>
              <w:ind w:left="709" w:right="567" w:firstLine="0"/>
              <w:jc w:val="center"/>
              <w:spacing w:after="0" w:afterAutospacing="0" w:line="240" w:lineRule="auto"/>
              <w:tabs>
                <w:tab w:val="left" w:pos="330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 w:eastAsia="ru-RU" w:bidi="ar-SA"/>
              </w:rPr>
              <w:t xml:space="preserve">проекту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постановления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ar-SA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утратившим силу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админ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истрации муниципального района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ind w:left="709" w:right="567" w:firstLine="0"/>
              <w:jc w:val="center"/>
              <w:spacing w:after="0" w:afterAutospacing="0" w:line="240" w:lineRule="auto"/>
              <w:tabs>
                <w:tab w:val="left" w:pos="33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auto"/>
              </w:rPr>
              <w:t xml:space="preserve">14 марта 2019 года № 140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ar-SA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/>
          </w:p>
          <w:p>
            <w:pPr>
              <w:ind w:left="709" w:right="567" w:firstLine="0"/>
              <w:jc w:val="center"/>
              <w:spacing w:after="0" w:afterAutospacing="0" w:line="240" w:lineRule="auto"/>
              <w:tabs>
                <w:tab w:val="left" w:pos="330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none"/>
                <w:lang w:val="ru-RU" w:eastAsia="ru-RU" w:bidi="ar-SA"/>
              </w:rPr>
            </w:r>
          </w:p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0"/>
                <w:szCs w:val="20"/>
                <w:lang w:val="ru-RU" w:eastAsia="ru-RU" w:bidi="ar-SA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eastAsia="ru-RU" w:bidi="ar-SA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ar-SA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tkachenko_nv@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  <w:t xml:space="preserve">ch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  <w:t xml:space="preserve">belregion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05.12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.2024 года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18.12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.2024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нормативных правовых актов администрации муниципального района «Чернянский район» Белгородс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кой области, подготовленных управлением  организационно-контрольной и кадровой работы администрации муниципального района «Чернянский район» Белгородской области, действующих нормативных правовых актов  администрации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на предмет выявления рисков нарушения антимонопольного законодательства за 2024 год, который до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10.02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.2025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г.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в составе ежегодного доклада об антимонопольном комплаенсе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будет размещен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официальном сайте органов 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0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Текст действующего нормативного правового акта в формате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Fonts w:ascii="Times New Roman" w:hAnsi="Times New Roman" w:eastAsia="Times New Roman" w:cs="Times New Roman"/>
                  <w:sz w:val="24"/>
                  <w:szCs w:val="24"/>
                  <w:lang w:val="ru-RU" w:eastAsia="ru-RU" w:bidi="ar-SA"/>
                </w:rPr>
                <w:t xml:space="preserve">http://admchern.ru/deyatelnost/antimonopolnyj-komp/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auto"/>
                <w:lang w:val="ru-RU" w:eastAsia="ru-RU" w:bidi="ar-SA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color w:val="000000"/>
                <w:spacing w:val="0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Ткаченко Наталья Вячеславовна,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главный специалист организационно-контрольного отдела  управления организационно-контрольной и кадровой работы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, тел. 5-74-45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auto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auto"/>
                <w:lang w:val="ru-RU" w:eastAsia="ru-RU" w:bidi="ar-SA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0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0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>
    <w:name w:val="Интернет-ссылка"/>
    <w:rPr>
      <w:color w:val="0066cc"/>
      <w:u w:val="single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cs="Noto Sans Devanagari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cs="Noto Sans Devanagari"/>
    </w:rPr>
  </w:style>
  <w:style w:type="numbering" w:styleId="838" w:default="1">
    <w:name w:val="No List"/>
    <w:uiPriority w:val="99"/>
    <w:semiHidden/>
    <w:unhideWhenUsed/>
    <w:qFormat/>
  </w:style>
  <w:style w:type="table" w:styleId="83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Table Grid"/>
    <w:basedOn w:val="839"/>
    <w:uiPriority w:val="5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dc:language>ru-RU</dc:language>
  <cp:revision>40</cp:revision>
  <dcterms:created xsi:type="dcterms:W3CDTF">2020-06-04T07:55:00Z</dcterms:created>
  <dcterms:modified xsi:type="dcterms:W3CDTF">2024-11-25T13:26:01Z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