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869"/>
        <w:tblW w:w="54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94"/>
      </w:tblGrid>
      <w:tr>
        <w:trPr/>
        <w:tc>
          <w:tcPr>
            <w:tcW w:w="5494" w:type="dxa"/>
            <w:tcBorders/>
          </w:tcPr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Приложение №</w:t>
            </w: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9</w:t>
            </w:r>
          </w:p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eastAsia="Tinos" w:cs="Times New Roman"/>
                <w:b/>
                <w:bCs/>
                <w:strike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 xml:space="preserve">к </w:t>
            </w: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постановлению администрации муниципального района</w:t>
            </w:r>
          </w:p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eastAsia="Tinos" w:cs="Times New Roman"/>
                <w:b/>
                <w:bCs/>
                <w:strike w:val="false"/>
                <w:dstrike w:val="false"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«Чернянский район»</w:t>
            </w:r>
          </w:p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trike w:val="false"/>
                <w:dstrike w:val="false"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Белгородской области</w:t>
            </w:r>
          </w:p>
          <w:p>
            <w:pPr>
              <w:pStyle w:val="Normal"/>
              <w:widowControl w:val="false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rFonts w:eastAsia="Tinos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highlight w:val="white"/>
                <w:lang w:val="ru-RU" w:eastAsia="ru-RU" w:bidi="ar-SA"/>
              </w:rPr>
              <w:t>от «__» __________ 2024 г. № _______</w:t>
            </w:r>
          </w:p>
        </w:tc>
      </w:tr>
    </w:tbl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red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highlight w:val="red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eastAsia="Tinos" w:cs="Times New Roman" w:ascii="Times New Roman" w:hAnsi="Times New Roman"/>
          <w:b/>
          <w:bCs/>
          <w:color w:val="000000"/>
          <w:sz w:val="28"/>
          <w:szCs w:val="28"/>
        </w:rPr>
        <w:t>Порядок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highlight w:val="none"/>
        </w:rPr>
      </w:pP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t>предоставления меры поддержки</w:t>
      </w:r>
      <w:r>
        <w:rPr>
          <w:rFonts w:eastAsia="Tinos" w:cs="Times New Roman"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t xml:space="preserve">по первоочередному праву </w:t>
        <w:br/>
        <w:t xml:space="preserve">на зачисление детей участников </w:t>
      </w:r>
      <w:r>
        <w:rPr>
          <w:rFonts w:eastAsia="Tinos" w:cs="Times New Roman" w:ascii="Times New Roman" w:hAnsi="Times New Roman"/>
          <w:b/>
          <w:color w:val="000000" w:themeColor="text1"/>
          <w:sz w:val="28"/>
          <w:szCs w:val="28"/>
          <w:highlight w:val="white"/>
        </w:rPr>
        <w:t xml:space="preserve">специальной военной операции </w:t>
      </w:r>
      <w:r>
        <w:rPr>
          <w:rFonts w:eastAsia="Tinos" w:cs="Times New Roman" w:ascii="Times New Roman" w:hAnsi="Times New Roman"/>
          <w:b/>
          <w:color w:val="000000"/>
          <w:sz w:val="28"/>
          <w:szCs w:val="28"/>
        </w:rPr>
        <w:br/>
        <w:t xml:space="preserve">в группы продлённого дня и круглосуточного пребывания </w:t>
        <w:br/>
        <w:t>в муниципальных дошкольных образовательных организациях Чернянского района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eastAsia="Tinos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eastAsia="Tinos" w:cs="Tinos" w:ascii="Tinos" w:hAnsi="Tinos"/>
          <w:b/>
          <w:bCs/>
          <w:sz w:val="28"/>
          <w:szCs w:val="28"/>
        </w:rPr>
        <w:t>Раздел 1. Общие положения</w:t>
      </w:r>
    </w:p>
    <w:p>
      <w:pPr>
        <w:pStyle w:val="Normal"/>
        <w:spacing w:lineRule="auto" w:line="240" w:before="0" w:afterAutospacing="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eastAsia="Tinos" w:cs="Times New Roman"/>
          <w:b w:val="false"/>
          <w:bCs w:val="false"/>
          <w:color w:val="000000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b w:val="false"/>
          <w:bCs w:val="false"/>
          <w:sz w:val="28"/>
          <w:szCs w:val="28"/>
          <w:highlight w:val="white"/>
        </w:rPr>
        <w:t xml:space="preserve">Настоящий Порядок предоставления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меры поддержки по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первоочередному праву на зачисление детей участников специальной военной операции в группы продлённого дня и круглосуточного пребывания в муниципальных дошкольных образовательных организациях Чернянского района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>(далее – Порядок)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, устанавливает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правила,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условия и сроки предоставления участникам специальной военной операции и членам их семей таких мер поддержки как предоставление первоочередного права на зачисление в группы продлённого  дня и круглосуточного пребывания в муниципальных дошкольных образовательных организациях Чернянского района 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>детей участников специальной военной операции, обучающихся в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 xml:space="preserve"> муниципальных образовательных организациях Чернянского района, реализующих образовательную программу дошкольного образования</w:t>
      </w: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  <w:highlight w:val="white"/>
        </w:rPr>
        <w:t xml:space="preserve"> (далее – мера поддержки).</w:t>
      </w:r>
    </w:p>
    <w:p>
      <w:pPr>
        <w:pStyle w:val="ListParagraph"/>
        <w:numPr>
          <w:ilvl w:val="0"/>
          <w:numId w:val="1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z w:val="28"/>
          <w:szCs w:val="28"/>
        </w:rPr>
        <w:t xml:space="preserve">Для целей настоящего Порядка под участниками специальной военной операции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 xml:space="preserve">(далее – участники СВО) </w:t>
      </w:r>
      <w:r>
        <w:rPr>
          <w:rFonts w:eastAsia="Tinos" w:cs="Times New Roman" w:ascii="Times New Roman" w:hAnsi="Times New Roman"/>
          <w:sz w:val="28"/>
          <w:szCs w:val="28"/>
        </w:rPr>
        <w:t>понимаются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 следующие категории граждан Российской Федерации, проживающие на территории Чернянского района: 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 xml:space="preserve">1) призванные на военную службу по мобилизации в вооружённые Силы Российской Федерации или направленные для прохождения службы </w:t>
        <w:br/>
        <w:t xml:space="preserve">в войска национальной Гвардии Российской Федерации на должностях, </w:t>
        <w:br/>
        <w:t>по которым предусмотрено присвоение специальных званий полиции, по мобилизации;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 xml:space="preserve">2) принимающие участие в специальной военной операции </w:t>
        <w:br/>
        <w:t>на территориях Украины, Донецкой Народной Республики, Луганской Народной Республики, Запорожской области и Херсонской области;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>а)проходящие военную службу в Вооружённых Силах Российской Федерации по контракту, или проходящие военную службу в войсках национальной Гвардии Российской Федерации;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>б)заключившие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 xml:space="preserve">в) заключившие контракт (имеющие иные правоотношения) </w:t>
        <w:br/>
        <w:t xml:space="preserve">с организацией, содействующей выполнению задач, возложенных </w:t>
        <w:br/>
        <w:t>на Вооружённые Силы Российской Федерации;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sz w:val="28"/>
          <w:szCs w:val="28"/>
          <w:highlight w:val="white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в воинских формированиях и органах, указанных в пункте 6 статьи 1 Федерального закона от 31 мая 1996 года № 61-ФЗ «Об обороне».</w:t>
      </w:r>
    </w:p>
    <w:p>
      <w:pPr>
        <w:pStyle w:val="Normal"/>
        <w:ind w:right="2" w:firstLine="709"/>
        <w:jc w:val="both"/>
        <w:rPr>
          <w:rFonts w:ascii="Tinos" w:hAnsi="Tinos"/>
        </w:rPr>
      </w:pPr>
      <w:r>
        <w:rPr>
          <w:rFonts w:ascii="Tinos" w:hAnsi="Tinos"/>
          <w:color w:val="000000"/>
          <w:sz w:val="28"/>
          <w:szCs w:val="28"/>
        </w:rPr>
        <w:t>3) граждан, проходящих(ивших) военную службу в Вооруженных силах Российской Федерации по контракту, или граждан, проходящих(ивших) военную службу (службу) в войсках национальной гвардии российской Федерации, в воинских формированиях и органах, указанных в п.6 ст. 1Федерального закона от 31 мая 1996 года № 61-ФЗ «Об обороне», при условии их участия в специальной военной операции,и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РФ, прилегающих к районам проведения специальной военной операции;</w:t>
      </w:r>
    </w:p>
    <w:p>
      <w:pPr>
        <w:pStyle w:val="Normal"/>
        <w:ind w:right="2" w:firstLine="709"/>
        <w:jc w:val="both"/>
        <w:rPr>
          <w:rFonts w:ascii="Tinos" w:hAnsi="Tinos"/>
        </w:rPr>
      </w:pPr>
      <w:r>
        <w:rPr>
          <w:rFonts w:ascii="Tinos" w:hAnsi="Tinos"/>
          <w:color w:val="000000"/>
          <w:sz w:val="28"/>
          <w:szCs w:val="28"/>
        </w:rPr>
        <w:t>4) Граждан, заключивших контракт о добровольном сод</w:t>
      </w:r>
      <w:r>
        <w:rPr>
          <w:rFonts w:ascii="Tinos" w:hAnsi="Tinos"/>
          <w:color w:val="000000"/>
          <w:sz w:val="28"/>
          <w:szCs w:val="28"/>
        </w:rPr>
        <w:t>е</w:t>
      </w:r>
      <w:r>
        <w:rPr>
          <w:rFonts w:ascii="Tinos" w:hAnsi="Tinos"/>
          <w:color w:val="000000"/>
          <w:sz w:val="28"/>
          <w:szCs w:val="28"/>
        </w:rPr>
        <w:t>йствии в выполнении задач, возложенных на Вооруженные Силы Российской Федерации  или войска национальной гвардии Российской Федера</w:t>
      </w:r>
      <w:r>
        <w:rPr>
          <w:rFonts w:ascii="Tinos" w:hAnsi="Tinos"/>
          <w:color w:val="000000"/>
          <w:sz w:val="28"/>
          <w:szCs w:val="28"/>
        </w:rPr>
        <w:t>ц</w:t>
      </w:r>
      <w:r>
        <w:rPr>
          <w:rFonts w:ascii="Tinos" w:hAnsi="Tinos"/>
          <w:color w:val="000000"/>
          <w:sz w:val="28"/>
          <w:szCs w:val="28"/>
        </w:rPr>
        <w:t>ии, при условии их участия в специальной военной операции и (или) выполнения  ими задач по от</w:t>
      </w:r>
      <w:r>
        <w:rPr>
          <w:rFonts w:ascii="Tinos" w:hAnsi="Tinos"/>
          <w:color w:val="000000"/>
          <w:sz w:val="28"/>
          <w:szCs w:val="28"/>
        </w:rPr>
        <w:t>ра</w:t>
      </w:r>
      <w:r>
        <w:rPr>
          <w:rFonts w:ascii="Tinos" w:hAnsi="Tinos"/>
          <w:color w:val="000000"/>
          <w:sz w:val="28"/>
          <w:szCs w:val="28"/>
        </w:rPr>
        <w:t>жению вооруженного вторжения на территорию Российской Федер</w:t>
      </w:r>
      <w:r>
        <w:rPr>
          <w:rFonts w:ascii="Tinos" w:hAnsi="Tinos"/>
          <w:color w:val="000000"/>
          <w:sz w:val="28"/>
          <w:szCs w:val="28"/>
        </w:rPr>
        <w:t>а</w:t>
      </w:r>
      <w:r>
        <w:rPr>
          <w:rFonts w:ascii="Tinos" w:hAnsi="Tinos"/>
          <w:color w:val="000000"/>
          <w:sz w:val="28"/>
          <w:szCs w:val="28"/>
        </w:rPr>
        <w:t>ции, в ходе вооруженной провокации а Государ</w:t>
      </w:r>
      <w:r>
        <w:rPr>
          <w:rFonts w:ascii="Tinos" w:hAnsi="Tinos"/>
          <w:color w:val="000000"/>
          <w:sz w:val="28"/>
          <w:szCs w:val="28"/>
        </w:rPr>
        <w:t>с</w:t>
      </w:r>
      <w:r>
        <w:rPr>
          <w:rFonts w:ascii="Tinos" w:hAnsi="Tinos"/>
          <w:color w:val="000000"/>
          <w:sz w:val="28"/>
          <w:szCs w:val="28"/>
        </w:rPr>
        <w:t>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лиц, заключивших контра</w:t>
      </w:r>
      <w:r>
        <w:rPr>
          <w:rFonts w:ascii="Tinos" w:hAnsi="Tinos"/>
          <w:color w:val="000000"/>
          <w:sz w:val="28"/>
          <w:szCs w:val="28"/>
        </w:rPr>
        <w:t>к</w:t>
      </w:r>
      <w:r>
        <w:rPr>
          <w:rFonts w:ascii="Tinos" w:hAnsi="Tinos"/>
          <w:color w:val="000000"/>
          <w:sz w:val="28"/>
          <w:szCs w:val="28"/>
        </w:rPr>
        <w:t>т (имевшие иные правоотношения) с организацией, содействующей выполнению задач,возложенных на Вооруженные Силы Российской Федерации, при услови</w:t>
      </w:r>
      <w:r>
        <w:rPr>
          <w:rFonts w:ascii="Tinos" w:hAnsi="Tinos"/>
          <w:color w:val="000000"/>
          <w:sz w:val="28"/>
          <w:szCs w:val="28"/>
        </w:rPr>
        <w:t xml:space="preserve">и </w:t>
      </w:r>
      <w:r>
        <w:rPr>
          <w:rFonts w:ascii="Tinos" w:hAnsi="Tinos"/>
          <w:color w:val="000000"/>
          <w:sz w:val="28"/>
          <w:szCs w:val="28"/>
        </w:rPr>
        <w:t>их участия в специальной военной операции;</w:t>
      </w:r>
    </w:p>
    <w:p>
      <w:pPr>
        <w:pStyle w:val="Normal"/>
        <w:ind w:right="2" w:firstLine="709"/>
        <w:jc w:val="both"/>
        <w:rPr>
          <w:rFonts w:ascii="Tinos" w:hAnsi="Tinos"/>
        </w:rPr>
      </w:pPr>
      <w:r>
        <w:rPr>
          <w:rFonts w:ascii="Tinos" w:hAnsi="Tinos"/>
          <w:color w:val="000000"/>
          <w:sz w:val="28"/>
          <w:szCs w:val="28"/>
        </w:rPr>
        <w:t>5) сотрудников ф</w:t>
      </w:r>
      <w:r>
        <w:rPr>
          <w:rFonts w:ascii="Tinos" w:hAnsi="Tinos"/>
          <w:color w:val="000000"/>
          <w:sz w:val="28"/>
          <w:szCs w:val="28"/>
        </w:rPr>
        <w:t>е</w:t>
      </w:r>
      <w:r>
        <w:rPr>
          <w:rFonts w:ascii="Tinos" w:hAnsi="Tinos"/>
          <w:color w:val="000000"/>
          <w:sz w:val="28"/>
          <w:szCs w:val="28"/>
        </w:rPr>
        <w:t>деральных органов исполнительн</w:t>
      </w:r>
      <w:r>
        <w:rPr>
          <w:rFonts w:ascii="Tinos" w:hAnsi="Tinos"/>
          <w:color w:val="000000"/>
          <w:sz w:val="28"/>
          <w:szCs w:val="28"/>
        </w:rPr>
        <w:t>о</w:t>
      </w:r>
      <w:r>
        <w:rPr>
          <w:rFonts w:ascii="Tinos" w:hAnsi="Tinos"/>
          <w:color w:val="000000"/>
          <w:sz w:val="28"/>
          <w:szCs w:val="28"/>
        </w:rPr>
        <w:t>й власти, служащих (работников) правоохранительных органов Российской Федерации, иных лиц, которые в рамках выполнения служебных обязанностей и иных лиц, которые в рамках выполнения служебных обязанностей и иных аналогичных функций направлялись (привлекались) указанными органами для выполнения(обеспечения выполнения) задач специальной военной операции;</w:t>
      </w:r>
    </w:p>
    <w:p>
      <w:pPr>
        <w:pStyle w:val="Normal"/>
        <w:ind w:right="2" w:firstLine="709"/>
        <w:jc w:val="both"/>
        <w:rPr>
          <w:rFonts w:ascii="Tinos" w:hAnsi="Tinos"/>
        </w:rPr>
      </w:pPr>
      <w:r>
        <w:rPr>
          <w:rFonts w:ascii="Tinos" w:hAnsi="Tinos"/>
          <w:color w:val="000000"/>
          <w:sz w:val="28"/>
          <w:szCs w:val="28"/>
        </w:rPr>
        <w:t>6) граждан, призванных на военную службу по мобилизации или заключивших контракт с Министерством обороны Российской Федерации о прохождении военной службы или контракт о добровольном содействии в выполнении задач, возложенных на Вооруженные Силы Российской Федерации, членам семей военнослужащих Министерства обороны Росссийской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</w:t>
      </w:r>
    </w:p>
    <w:p>
      <w:pPr>
        <w:pStyle w:val="Normal"/>
        <w:ind w:right="2" w:firstLine="709"/>
        <w:jc w:val="both"/>
        <w:rPr>
          <w:rFonts w:ascii="Tinos" w:hAnsi="Tinos"/>
        </w:rPr>
      </w:pPr>
      <w:r>
        <w:rPr>
          <w:rFonts w:eastAsia="Tinos" w:cs="Times New Roman" w:ascii="Tinos" w:hAnsi="Tinos"/>
          <w:strike w:val="false"/>
          <w:dstrike w:val="false"/>
          <w:color w:val="000000"/>
          <w:sz w:val="28"/>
          <w:szCs w:val="28"/>
          <w:highlight w:val="white"/>
        </w:rPr>
        <w:t>7) граждан, проходящих службу в войсках национальной гвардии Российской Федерации,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принимающих(принимавших)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eastAsia="Tinos" w:cs="Times New Roman" w:ascii="Times New Roman" w:hAnsi="Times New Roman"/>
          <w:sz w:val="28"/>
          <w:szCs w:val="28"/>
        </w:rPr>
        <w:t xml:space="preserve">4. Мера поддержки предоставляется участникам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>СВО</w:t>
      </w:r>
      <w:r>
        <w:rPr>
          <w:rFonts w:eastAsia="Tinos" w:cs="Times New Roman" w:ascii="Times New Roman" w:hAnsi="Times New Roman"/>
          <w:sz w:val="28"/>
          <w:szCs w:val="28"/>
        </w:rPr>
        <w:t xml:space="preserve"> и членам их семей 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на период участия лиц, указанных в пункте 2 Порядка, в специальной военной операции.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highlight w:val="white"/>
        </w:rPr>
      </w:pP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Мера поддержки членам семей лиц, указанных в пункте 2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 при выполнении задач в ходе проведения специальной военной операции, предоставляется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</w:rPr>
        <w:t xml:space="preserve"> 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на весь период </w:t>
      </w:r>
      <w:r>
        <w:rPr>
          <w:rFonts w:eastAsia="Tinos" w:cs="Times New Roman" w:ascii="Times New Roman" w:hAnsi="Times New Roman"/>
          <w:sz w:val="28"/>
          <w:szCs w:val="28"/>
          <w:highlight w:val="white"/>
        </w:rPr>
        <w:t>обучения детей участников СВО в муниципальных образовательных организациях Чернянского района, реализующих образовательную программу дошкольного образования</w:t>
      </w:r>
      <w:r>
        <w:rPr>
          <w:rFonts w:eastAsia="Tinos"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 (далее –образовательные организации).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4.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Решение об открытии группы продлённого дня или круглосуточного пребывания и о режиме пребывания в ней детей принимается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приказом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образовательной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организации.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 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6. Меры поддержки предоставляются по заявлению родителя (законного представителя) ребёнка участника СВО (далее – заявитель).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  <w:t>Раздел 2. Порядок обращения за предоставлением меры поддержки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7. Заявители обращаются за предоставлением первоочередного права </w:t>
        <w:br/>
        <w:t xml:space="preserve">на зачисление в группы продлённого дня и круглосуточного пребывания </w:t>
        <w:br/>
        <w:t xml:space="preserve">к руководителю образовательной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организации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,  в которой обучается ребёнок участника СВО.</w:t>
      </w:r>
    </w:p>
    <w:p>
      <w:pPr>
        <w:pStyle w:val="Normal"/>
        <w:spacing w:lineRule="auto" w:line="240" w:before="0" w:afterAutospacing="0" w:after="0"/>
        <w:ind w:left="0" w:right="0" w:firstLine="595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8. Для получения меры поддержки заявитель представляет </w:t>
        <w:br/>
        <w:t xml:space="preserve">в образовательную организацию, помимо документов, необходимых для зачисления в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образовательную организацию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, следующие документы: 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заявление на оказание услуги по уходу и присмотру за детьми дошкольного возраста в группах продленного дня и круглосуточного пребывания;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1304" w:right="0" w:hanging="36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whit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документ, удостоверяющий личность заявителя;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 xml:space="preserve">документ, подтверждающий родство ребенка,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 xml:space="preserve">обучающегося в образовательной организации,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с участником СВО (свидетельство о рождении ребёнка, свидетельство об усыновлении (удочерении) ребёнка, свидетельство об установлении отцовства в отношении ребёнка).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>
      <w:pPr>
        <w:pStyle w:val="ListParagraph"/>
        <w:numPr>
          <w:ilvl w:val="0"/>
          <w:numId w:val="2"/>
        </w:numPr>
        <w:spacing w:lineRule="auto" w:line="240" w:before="0" w:afterAutospacing="0" w:after="0"/>
        <w:ind w:left="0" w:right="0" w:firstLine="709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документ, подтверждающий статус законного представителя (опекунское удостоверение, решение органа опеки и попечительства о назначении опеки или попечительства над ребёнком);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    5)  документ о прохождении военной службы участником СВО, подтверждающий его принадлежность к лицам, указанным в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пункте 2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yellow"/>
        </w:rPr>
        <w:t xml:space="preserve">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Порядка (справка военного комиссариата, справка (приказ) воинской части);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 xml:space="preserve">   6)  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 контузии) или заболевания, полученных при выполнении задач в ходе проведения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7) документ, подтверждающий смерть (гибель) участника СВО при выполнении задач специальной военной операции (предоставляется в случае смерти (гибели) участника СВО при выполнении задач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8) документ, подтверждающий смерть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 (предоставляется в 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9) согласие на обработку персональных данных.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ab/>
        <w:t>Лицо, подавшее заявление, несёт ответственность в соответствии с законодательством Российской Федерации за достоверность сведений, содержащихся в представляемых им документах.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center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center"/>
        <w:rPr>
          <w:rFonts w:ascii="Times New Roman" w:hAnsi="Times New Roman" w:cs="Times New Roman"/>
          <w:b/>
          <w:bCs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/>
          <w:bCs/>
          <w:strike w:val="false"/>
          <w:dstrike w:val="false"/>
          <w:sz w:val="28"/>
          <w:szCs w:val="28"/>
        </w:rPr>
        <w:t xml:space="preserve">Раздел 3. Условия предоставления (отказа в предоставлении) </w:t>
        <w:br/>
        <w:t>меры поддержки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left"/>
        <w:rPr>
          <w:rFonts w:ascii="Times New Roman" w:hAnsi="Times New Roman" w:cs="Times New Roman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9. В случае, если обращение для получения первоочередного права </w:t>
        <w:br/>
        <w:t xml:space="preserve">на зачисление в группы продлённого дня и круглосуточного пребывания </w:t>
        <w:br/>
        <w:t xml:space="preserve">в образовательных организациях поступило позднее 1 сентября текущего учебного года, при этом в образовательной организации группы продлённого дня и круглосуточного пребывания </w:t>
        <w:br/>
        <w:t>не сформирована, руководитель образовательной организации в течение 5  (пяти) рабочих дней со дня обращения обеспечивает организацию группы продлённого дня и круглосуточного пребывания.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10. Решение о первоочередном зачислении (об отказе в первоочередном зачислении) в группу продлённого дня и круглосуточного пребывания детей участников СВО, оформляется приказом образовательной организации не позднее 5 (пяти) рабочих дней со дня обращения заявителя.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11. Основанием для отказа в предоставлении первоочередного права </w:t>
        <w:br/>
        <w:t xml:space="preserve">на зачисление в группу продлённого дня и круглосуточного пребывания </w:t>
        <w:br/>
        <w:t>в  образовательных организациях детей участников СВО, являются: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1) предоставление заявителем недостоверных сведений;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2) предоставление не в полном объёме или непредоставление документов, указанных в пункте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 xml:space="preserve">  8раздела  2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>Порядка;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3) отсутствие статуса участника СВО, указанного в пункте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 xml:space="preserve">2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>раздела 1 порядка.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4. Заявитель ставится в известность о принятом решении в течение 5 (пяти) рабочих дней со дня его принятия.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 xml:space="preserve">12. Родитель (законный представитель) вправе повторно обратиться </w:t>
        <w:br/>
        <w:t>с заявлением об оказании меры поддержки после устранения причин, послуживших основанием для отказа.</w:t>
      </w:r>
    </w:p>
    <w:p>
      <w:pPr>
        <w:pStyle w:val="Normal"/>
        <w:spacing w:lineRule="auto" w:line="240" w:before="0" w:afterAutospacing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Cs w:val="false"/>
          <w:strike w:val="false"/>
          <w:dstrike w:val="false"/>
          <w:sz w:val="28"/>
          <w:szCs w:val="28"/>
          <w:highlight w:val="non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</w:rPr>
        <w:tab/>
        <w:t>13. Учёт предоставления указанной в настоящем Порядке меры поддержки осуществляется соответствующей образовательной организацией.</w:t>
      </w:r>
    </w:p>
    <w:p>
      <w:pPr>
        <w:pStyle w:val="Normal"/>
        <w:spacing w:lineRule="auto" w:line="240" w:before="0" w:afterAutospacing="0" w:after="0"/>
        <w:ind w:left="0" w:right="0" w:firstLine="709"/>
        <w:contextualSpacing/>
        <w:jc w:val="both"/>
        <w:rPr>
          <w:highlight w:val="white"/>
        </w:rPr>
      </w:pP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>14. Финансирование расходов, связанных с предоставлением данной меры поддержки, осуществляется за счет Чернянского районного бюджета.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  <w:font w:name="Tino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  <w:rPr>
        <w:dstrike w:val="false"/>
        <w:strike w:val="false"/>
        <w:highlight w:val="whit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3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64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595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595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595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2" w:customStyle="1">
    <w:name w:val="Обычный1"/>
    <w:qFormat/>
    <w:pPr>
      <w:keepNext w:val="false"/>
      <w:keepLines w:val="false"/>
      <w:pageBreakBefore w:val="false"/>
      <w:widowControl w:val="false"/>
      <w:shd w:val="nil"/>
      <w:suppressAutoHyphens w:val="true"/>
      <w:bidi w:val="0"/>
      <w:spacing w:lineRule="auto" w:line="300" w:beforeAutospacing="0" w:before="0" w:afterAutospacing="0" w:after="0"/>
      <w:ind w:left="0" w:right="0" w:firstLine="36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4"/>
      <w:sz w:val="24"/>
      <w:szCs w:val="20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LibreOffice/7.5.6.2$Linux_X86_64 LibreOffice_project/50$Build-2</Application>
  <AppVersion>15.0000</AppVersion>
  <Pages>5</Pages>
  <Words>1345</Words>
  <Characters>9920</Characters>
  <CharactersWithSpaces>11272</CharactersWithSpaces>
  <Paragraphs>49</Paragraphs>
  <Company>Wg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2017-05-11T10:31:00Z</dcterms:created>
  <dc:creator>FoM</dc:creator>
  <dc:description/>
  <dc:language>ru-RU</dc:language>
  <cp:lastModifiedBy/>
  <cp:lastPrinted>2024-11-26T08:58:52Z</cp:lastPrinted>
  <dcterms:modified xsi:type="dcterms:W3CDTF">2024-11-26T11:57:13Z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