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spacing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17"/>
        <w:jc w:val="center"/>
        <w:spacing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17"/>
        <w:jc w:val="center"/>
        <w:spacing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630"/>
        <w:tblW w:w="9462" w:type="dxa"/>
        <w:tblInd w:w="22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62"/>
      </w:tblGrid>
      <w:tr>
        <w:tblPrEx/>
        <w:trPr/>
        <w:tc>
          <w:tcPr>
            <w:tcW w:w="9462" w:type="dxa"/>
            <w:textDirection w:val="lrTb"/>
            <w:noWrap w:val="false"/>
          </w:tcPr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Управление социальной защиты населения администрации Чернянского района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 w:themeColor="text1"/>
                <w:sz w:val="20"/>
                <w:szCs w:val="20"/>
                <w:lang w:val="ru-RU" w:eastAsia="ru-RU" w:bidi="ar-SA"/>
              </w:rPr>
              <w:t xml:space="preserve">(структурного подразделения администрации района)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 w:bidi="ar-SA"/>
              </w:rPr>
            </w:r>
          </w:p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bCs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 w:eastAsia="ru-RU" w:bidi="ar-SA"/>
              </w:rPr>
              <w:t xml:space="preserve">проекту постановления администрации </w:t>
            </w:r>
            <w:r>
              <w:rPr>
                <w:rFonts w:ascii="Tinos" w:hAnsi="Tinos" w:eastAsia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муниципального района «Чернянский район»</w:t>
            </w:r>
            <w:r>
              <w:rPr>
                <w:bCs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line="280" w:lineRule="atLeast"/>
              <w:rPr>
                <w:rFonts w:ascii="Tinos" w:hAnsi="Tinos" w:cs="Tinos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  <w:szCs w:val="24"/>
              </w:rPr>
            </w:r>
            <w:r>
              <w:rPr>
                <w:rFonts w:ascii="Tinos" w:hAnsi="Tinos" w:eastAsia="Tinos" w:cs="Tinos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«</w:t>
            </w:r>
            <w:r>
              <w:rPr>
                <w:rFonts w:ascii="Tinos" w:hAnsi="Tinos" w:eastAsia="Tinos" w:cs="Tinos"/>
                <w:b/>
                <w:color w:val="000000"/>
                <w:sz w:val="24"/>
                <w:szCs w:val="24"/>
              </w:rPr>
              <w:t xml:space="preserve">Об уполномоченном органе местного самоуправления Чернянского </w:t>
              <w:br/>
              <w:t xml:space="preserve"> района по организации и осуществлению деятельности по опеке и </w:t>
              <w:br/>
              <w:t xml:space="preserve"> попечительству </w:t>
            </w:r>
            <w:r>
              <w:rPr>
                <w:rFonts w:ascii="Tinos" w:hAnsi="Tinos" w:eastAsia="Tinos" w:cs="Tinos"/>
                <w:b/>
                <w:color w:val="000000"/>
                <w:sz w:val="24"/>
                <w:szCs w:val="24"/>
              </w:rPr>
              <w:t xml:space="preserve">в отношении совершеннолетних лиц признанных судом недееспособными или ограниченно дееспособными, совершеннолетних дееспособных граждан и граждан, признанных безвестно отсутствующими</w:t>
            </w:r>
            <w:r>
              <w:rPr>
                <w:rFonts w:ascii="Tinos" w:hAnsi="Tinos"/>
                <w:b/>
                <w:bCs/>
                <w:color w:val="00000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eastAsia="ru-RU" w:bidi="ar-SA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9462" w:type="dxa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 w:eastAsia="ru-RU" w:bidi="ar-SA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Замечания и предложения принимаются по адресу: Белгородская область, п.Чернянка, пл.Октябрьская, д.6, а также по адресу электронной почты: shvetsova_td@ch.belregion.ru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Сроки приема замечаний и предложений: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с 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.2025 года по 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.2025 года.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 w:bidi="ar-SA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упра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 w:bidi="ar-SA"/>
              </w:rPr>
              <w:t xml:space="preserve">влением социальной защиты населения администрации Чернянского района, действующих нормативных правовых актов управления социальной защиты населения администрации Чернянского района на предмет выявления рисков нарушения антимонопольного законодательства за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2025 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 w:bidi="ar-SA"/>
              </w:rPr>
              <w:t xml:space="preserve">од, который до 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.2026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 w:bidi="ar-SA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составе ежегодного доклада об антимонопольном комплаенсе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 w:bidi="ar-SA"/>
              </w:rPr>
              <w:t xml:space="preserve"> будет размещен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line="280" w:lineRule="atLeast"/>
              <w:rPr>
                <w:rFonts w:ascii="Tinos" w:hAnsi="Tinos" w:cs="Tinos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Текст проекта постановления администрации муниципального района «Чернянский район» Белгородской области</w:t>
            </w:r>
            <w:r>
              <w:rPr>
                <w:rFonts w:ascii="Tinos" w:hAnsi="Tinos" w:eastAsia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  <w:lang w:val="ru-RU" w:eastAsia="ru-RU" w:bidi="ar-SA"/>
              </w:rPr>
              <w:t xml:space="preserve">«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Об уполномоченном органе местного самоуправления Чернянского района по организации и осуществлению деятельности по опеке и </w:t>
              <w:br/>
              <w:t xml:space="preserve"> попечительству 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в отношении совершеннолетних лиц признанных судом недееспособными или ограниченно дееспособными, совершеннолетних дееспособных граждан и граждан, признанных безвестно отсутствующими</w:t>
            </w:r>
            <w:r>
              <w:rPr>
                <w:rFonts w:ascii="Tinos" w:hAnsi="Tinos"/>
                <w:b w:val="0"/>
                <w:bCs w:val="0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nos" w:hAnsi="Tinos" w:eastAsia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 в форм</w:t>
            </w:r>
            <w:r>
              <w:rPr>
                <w:rFonts w:ascii="Tinos" w:hAnsi="Tinos" w:eastAsia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ате </w:t>
            </w:r>
            <w:r>
              <w:rPr>
                <w:rFonts w:ascii="Tinos" w:hAnsi="Tinos" w:eastAsia="Times New Roman" w:cs="Times New Roman"/>
                <w:b w:val="0"/>
                <w:bCs w:val="0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nos" w:hAnsi="Tinos" w:eastAsia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  <w:r/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3.Положение 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  <w:lang w:val="ru-RU" w:eastAsia="ru-RU" w:bidi="ar-SA"/>
              </w:rPr>
              <w:t xml:space="preserve">«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Об уполномоченном органе местного самоуправления Чернянского района по организации и осуществлению деятельности по опеке и </w:t>
              <w:br/>
              <w:t xml:space="preserve"> попечительству 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в отношении совершеннолетних лиц признанных судом недееспособными или ограниченно дееспособными, совершеннолетних дееспособных граждан и граждан, признанных безвестно отсутствующими</w:t>
            </w:r>
            <w:r>
              <w:rPr>
                <w:rFonts w:ascii="Tinos" w:hAnsi="Tinos"/>
                <w:b w:val="0"/>
                <w:bCs w:val="0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nos" w:hAnsi="Tinos" w:eastAsia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 в форм</w:t>
            </w:r>
            <w:r>
              <w:rPr>
                <w:rFonts w:ascii="Tinos" w:hAnsi="Tinos" w:eastAsia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ате </w:t>
            </w:r>
            <w:r>
              <w:rPr>
                <w:rFonts w:ascii="Tinos" w:hAnsi="Tinos" w:eastAsia="Times New Roman" w:cs="Times New Roman"/>
                <w:b w:val="0"/>
                <w:bCs w:val="0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nos" w:hAnsi="Tinos" w:eastAsia="Times New Roman" w:cs="Times New Roman"/>
                <w:b w:val="0"/>
                <w:bCs w:val="0"/>
                <w:sz w:val="24"/>
                <w:szCs w:val="24"/>
                <w:lang w:val="ru-RU" w:eastAsia="ru-RU" w:bidi="ar-SA"/>
              </w:rPr>
              <w:t xml:space="preserve">.</w:t>
            </w:r>
            <w:r/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8" w:tooltip="http://admchern.ru/deyatelnost/antimonopolnyj-komp/" w:history="1">
              <w:r>
                <w:rPr>
                  <w:rStyle w:val="619"/>
                  <w:rFonts w:ascii="Times New Roman" w:hAnsi="Times New Roman" w:eastAsia="Times New Roman" w:cs="Times New Roman"/>
                  <w:sz w:val="24"/>
                  <w:szCs w:val="24"/>
                  <w:lang w:val="ru-RU" w:eastAsia="ru-RU" w:bidi="ar-SA"/>
                </w:rPr>
                <w:t xml:space="preserve">http://admchern.ru/deyatelnost/antimonopolnyj-komp/</w:t>
              </w:r>
            </w:hyperlink>
            <w:r/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462" w:type="dxa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Швецова Татьяна Дмитриевна, ведущий консультант по правовой работе отдела социального обслуживания населения управления социальной защиты населения администрации Чернянского района, тел. 5-51-65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2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27"/>
        <w:jc w:val="center"/>
        <w:rPr>
          <w:rStyle w:val="620"/>
          <w:b/>
          <w:bCs/>
        </w:rPr>
      </w:pPr>
      <w:r>
        <w:rPr>
          <w:b/>
          <w:bCs/>
        </w:rPr>
      </w:r>
      <w:r>
        <w:rPr>
          <w:rStyle w:val="620"/>
          <w:b/>
          <w:bCs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character" w:styleId="47">
    <w:name w:val="Caption Char"/>
    <w:basedOn w:val="618"/>
    <w:link w:val="624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character" w:styleId="618" w:default="1">
    <w:name w:val="Default Paragraph Font"/>
    <w:uiPriority w:val="1"/>
    <w:semiHidden/>
    <w:unhideWhenUsed/>
    <w:qFormat/>
  </w:style>
  <w:style w:type="character" w:styleId="619">
    <w:name w:val="Hyperlink"/>
    <w:rPr>
      <w:color w:val="0066cc"/>
      <w:u w:val="single"/>
    </w:rPr>
  </w:style>
  <w:style w:type="character" w:styleId="620">
    <w:name w:val="Font Style20"/>
    <w:qFormat/>
    <w:rPr>
      <w:rFonts w:ascii="Times New Roman" w:hAnsi="Times New Roman" w:cs="Times New Roman"/>
      <w:sz w:val="28"/>
      <w:szCs w:val="28"/>
    </w:rPr>
  </w:style>
  <w:style w:type="paragraph" w:styleId="621">
    <w:name w:val="Заголовок"/>
    <w:basedOn w:val="617"/>
    <w:next w:val="622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2">
    <w:name w:val="Body Text"/>
    <w:basedOn w:val="617"/>
    <w:pPr>
      <w:spacing w:before="0" w:after="140" w:line="276" w:lineRule="auto"/>
    </w:pPr>
  </w:style>
  <w:style w:type="paragraph" w:styleId="623">
    <w:name w:val="List"/>
    <w:basedOn w:val="622"/>
    <w:rPr>
      <w:rFonts w:ascii="PT Astra Serif" w:hAnsi="PT Astra Serif" w:cs="Noto Sans Devanagari"/>
    </w:rPr>
  </w:style>
  <w:style w:type="paragraph" w:styleId="624">
    <w:name w:val="Caption"/>
    <w:basedOn w:val="61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25">
    <w:name w:val="Указатель"/>
    <w:basedOn w:val="617"/>
    <w:qFormat/>
    <w:pPr>
      <w:suppressLineNumbers/>
    </w:pPr>
    <w:rPr>
      <w:rFonts w:ascii="PT Astra Serif" w:hAnsi="PT Astra Serif" w:cs="Noto Sans Devanagari"/>
    </w:rPr>
  </w:style>
  <w:style w:type="paragraph" w:styleId="626">
    <w:name w:val="No Spacing"/>
    <w:qFormat/>
    <w:pPr>
      <w:jc w:val="left"/>
      <w:spacing w:before="0" w:after="200" w:line="276" w:lineRule="auto"/>
      <w:widowControl/>
    </w:pPr>
    <w:rPr>
      <w:rFonts w:ascii="Calibri" w:hAnsi="Calibri" w:eastAsia="Times New Roman" w:cs="Arial" w:asciiTheme="minorHAnsi" w:hAnsiTheme="minorHAnsi"/>
      <w:color w:val="auto"/>
      <w:sz w:val="22"/>
      <w:szCs w:val="22"/>
      <w:lang w:val="ru-RU" w:eastAsia="zh-CN" w:bidi="ar-SA"/>
    </w:rPr>
  </w:style>
  <w:style w:type="paragraph" w:styleId="627">
    <w:name w:val="Без интервала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numbering" w:styleId="628" w:default="1">
    <w:name w:val="No List"/>
    <w:uiPriority w:val="99"/>
    <w:semiHidden/>
    <w:unhideWhenUsed/>
    <w:qFormat/>
  </w:style>
  <w:style w:type="table" w:styleId="629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30">
    <w:name w:val="Table Grid"/>
    <w:basedOn w:val="629"/>
    <w:uiPriority w:val="5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admchern.ru/deyatelnost/antimonopolnyj-kom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dc:language>ru-RU</dc:language>
  <cp:lastModifiedBy>user</cp:lastModifiedBy>
  <cp:revision>9</cp:revision>
  <dcterms:created xsi:type="dcterms:W3CDTF">2024-09-04T10:54:00Z</dcterms:created>
  <dcterms:modified xsi:type="dcterms:W3CDTF">2025-06-11T07:39:06Z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