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before="0" w:after="0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sz w:val="28"/>
          <w:szCs w:val="28"/>
        </w:rPr>
      </w:r>
    </w:p>
    <w:p>
      <w:pPr>
        <w:pStyle w:val="617"/>
        <w:jc w:val="center"/>
        <w:spacing w:before="0" w:after="0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sz w:val="28"/>
          <w:szCs w:val="28"/>
        </w:rPr>
      </w:r>
    </w:p>
    <w:p>
      <w:pPr>
        <w:pStyle w:val="617"/>
        <w:jc w:val="center"/>
        <w:spacing w:before="0" w:after="0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sz w:val="28"/>
          <w:szCs w:val="28"/>
        </w:rPr>
      </w:r>
    </w:p>
    <w:tbl>
      <w:tblPr>
        <w:tblStyle w:val="629"/>
        <w:tblW w:w="9571" w:type="dxa"/>
        <w:tblInd w:w="1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rFonts w:ascii="Tinos" w:hAnsi="Tinos"/>
                <w:sz w:val="20"/>
              </w:rPr>
              <w:pBdr>
                <w:bottom w:val="single" w:color="000000" w:sz="12" w:space="1"/>
              </w:pBdr>
            </w:pPr>
            <w:r>
              <w:rPr>
                <w:rFonts w:ascii="Tinos" w:hAnsi="Tinos"/>
                <w:sz w:val="24"/>
                <w:szCs w:val="24"/>
              </w:rPr>
              <w:t xml:space="preserve">Комплексный центр социального обслуживания населения Чернянского района</w:t>
            </w:r>
            <w:r>
              <w:rPr>
                <w:rFonts w:ascii="Tinos" w:hAnsi="Tinos"/>
                <w:sz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rFonts w:ascii="Tinos" w:hAnsi="Tinos"/>
                <w:sz w:val="20"/>
              </w:rPr>
            </w:pPr>
            <w:r>
              <w:rPr>
                <w:rFonts w:ascii="Tinos" w:hAnsi="Tinos" w:eastAsia="Times New Roman" w:cs="Times New Roman"/>
                <w:b/>
                <w:i/>
                <w:color w:val="000000" w:themeColor="text1"/>
                <w:sz w:val="20"/>
                <w:szCs w:val="20"/>
                <w:lang w:val="ru-RU" w:eastAsia="ru-RU" w:bidi="ar-SA"/>
              </w:rPr>
              <w:t xml:space="preserve">(структурного подразделения администрации района)</w:t>
            </w:r>
            <w:r>
              <w:rPr>
                <w:rFonts w:ascii="Tinos" w:hAnsi="Tinos"/>
                <w:sz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bCs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ar-SA"/>
              </w:rPr>
              <w:t xml:space="preserve">проекту постановления администрации муниципального района «Чернянский район»</w:t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626"/>
              <w:jc w:val="center"/>
              <w:spacing w:line="240" w:lineRule="auto"/>
              <w:widowControl w:val="off"/>
              <w:rPr>
                <w:rFonts w:ascii="Tinos" w:hAnsi="Tinos"/>
                <w:sz w:val="22"/>
                <w:szCs w:val="22"/>
              </w:rPr>
            </w:pPr>
            <w:r>
              <w:rPr>
                <w:rFonts w:ascii="Tinos" w:hAnsi="Tinos"/>
                <w:b/>
                <w:bCs/>
                <w:sz w:val="22"/>
                <w:szCs w:val="22"/>
              </w:rPr>
              <w:t xml:space="preserve">О внесении изменений в муниципальную программу«Социальная поддержка граждан в Чернянском районе Белгородской области», утвержденную постановлением</w:t>
            </w:r>
            <w:r>
              <w:rPr>
                <w:rFonts w:ascii="Tinos" w:hAnsi="Tinos"/>
                <w:sz w:val="22"/>
                <w:szCs w:val="22"/>
              </w:rPr>
            </w:r>
          </w:p>
          <w:p>
            <w:pPr>
              <w:pStyle w:val="626"/>
              <w:jc w:val="center"/>
              <w:spacing w:line="240" w:lineRule="auto"/>
              <w:widowControl w:val="off"/>
              <w:rPr>
                <w:rFonts w:ascii="Tinos" w:hAnsi="Tinos"/>
                <w:sz w:val="22"/>
                <w:szCs w:val="22"/>
              </w:rPr>
            </w:pPr>
            <w:r>
              <w:rPr>
                <w:rFonts w:ascii="Tinos" w:hAnsi="Tinos"/>
                <w:b/>
                <w:bCs/>
                <w:sz w:val="22"/>
                <w:szCs w:val="22"/>
              </w:rPr>
              <w:t xml:space="preserve">администрации муниципального района «Чернянский район»</w:t>
            </w:r>
            <w:r>
              <w:rPr>
                <w:rFonts w:ascii="Tinos" w:hAnsi="Tinos"/>
                <w:sz w:val="22"/>
                <w:szCs w:val="22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sz w:val="20"/>
              </w:rPr>
              <w:pBdr>
                <w:bottom w:val="single" w:color="000000" w:sz="12" w:space="1"/>
              </w:pBdr>
            </w:pPr>
            <w:r>
              <w:rPr>
                <w:rStyle w:val="620"/>
                <w:rFonts w:ascii="Tinos" w:hAnsi="Tinos"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Style w:val="620"/>
                <w:rFonts w:ascii="Tinos" w:hAnsi="Tinos" w:eastAsia="Times New Roman" w:cs="Times New Roman"/>
                <w:b/>
                <w:bCs/>
                <w:sz w:val="22"/>
                <w:szCs w:val="22"/>
                <w:lang w:val="ru-RU" w:eastAsia="ru-RU" w:bidi="ar-SA"/>
              </w:rPr>
              <w:t xml:space="preserve">Белгородской области от 28.12.2024 г. № 977»</w:t>
            </w:r>
            <w:bookmarkStart w:id="0" w:name="_Hlk36221083"/>
            <w:r/>
            <w:bookmarkEnd w:id="0"/>
            <w:r/>
            <w:r>
              <w:rPr>
                <w:sz w:val="20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eastAsia="ru-RU" w:bidi="ar-SA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ru-RU" w:eastAsia="ru-RU" w:bidi="ar-SA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Замечания и предложения принимаются по адресу: Белгородская область, п.Чернянка, пл.Октябрьская, д.6, а также по адресу электронной почты: </w:t>
            </w:r>
            <w:r>
              <w:rPr>
                <w:rFonts w:ascii="Tinos" w:hAnsi="Tinos" w:eastAsia="Times New Roman" w:cs="Times New Roman"/>
                <w:b w:val="0"/>
                <w:bCs w:val="0"/>
                <w:i w:val="0"/>
                <w:caps w:val="0"/>
                <w:smallCaps w:val="0"/>
                <w:color w:val="000000"/>
                <w:spacing w:val="0"/>
                <w:sz w:val="22"/>
                <w:szCs w:val="22"/>
                <w:shd w:val="clear" w:color="auto" w:fill="auto"/>
                <w:lang w:val="ru-RU" w:eastAsia="ru-RU" w:bidi="ar-SA"/>
              </w:rPr>
              <w:t xml:space="preserve">buh_kcson@ch.belregion.ru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Сроки приема замечаний и предложений: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с 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года по 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года.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Комплек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сным центром социального обслуживания населения Чернянского района, действующих нормативных правовых актов Комплексного центра социального обслуживания населения Чернянского района на предмет выявления рисков нарушения антимонопольного законодательства за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2025 год,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 который до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составе ежегодного доклада об антимонопольном комплаенсе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 будет размещен 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2. Текст проекта постановления администрации муниципального района «Чернянский район» Белгородской области с приложениями 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  <w:lang w:val="ru-RU" w:eastAsia="ru-RU" w:bidi="ar-SA"/>
              </w:rPr>
              <w:t xml:space="preserve">«О внесении изменений в муниципальную программу «Социальная поддержка граждан в Чернянском районе Белгородской области», утвержденную постановлением администрации муниципального района «Чернянский район» Белгородской области от 28.12.2024 г. № 977»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в формате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3.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ru-RU" w:eastAsia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 w:bidi="ar-SA"/>
              </w:rPr>
              <w:t xml:space="preserve"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8" w:tooltip="http://admchern.ru/deyatelnost/antimonopolnyj-komp/" w:history="1">
              <w:r>
                <w:rPr>
                  <w:rStyle w:val="619"/>
                  <w:rFonts w:ascii="Times New Roman" w:hAnsi="Times New Roman" w:eastAsia="Times New Roman" w:cs="Times New Roman"/>
                  <w:sz w:val="24"/>
                  <w:szCs w:val="24"/>
                  <w:lang w:val="ru-RU" w:eastAsia="ru-RU" w:bidi="ar-SA"/>
                </w:rPr>
                <w:t xml:space="preserve">http://admchern.ru/deyatelnost/antimonopolnyj-komp/</w:t>
              </w:r>
            </w:hyperlink>
            <w:r/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571" w:type="dxa"/>
            <w:textDirection w:val="lrTb"/>
            <w:noWrap w:val="false"/>
          </w:tcPr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Агаркова Анастасия Георгиевна,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экономист по финансовой работе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МБУ «Комплексный центр социального обслуживания населения Чернянского района», тел.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5-70-90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both"/>
              <w:spacing w:before="0" w:after="0" w:line="240" w:lineRule="auto"/>
              <w:widowControl w:val="off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17"/>
        <w:jc w:val="left"/>
        <w:spacing w:before="0" w:after="200" w:line="276" w:lineRule="auto"/>
        <w:widowControl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18"/>
    <w:link w:val="624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character" w:styleId="618" w:default="1">
    <w:name w:val="Default Paragraph Font"/>
    <w:uiPriority w:val="1"/>
    <w:semiHidden/>
    <w:unhideWhenUsed/>
    <w:qFormat/>
  </w:style>
  <w:style w:type="character" w:styleId="619">
    <w:name w:val="Hyperlink"/>
    <w:rPr>
      <w:color w:val="0066cc"/>
      <w:u w:val="single"/>
    </w:rPr>
  </w:style>
  <w:style w:type="character" w:styleId="620">
    <w:name w:val="Font Style20"/>
    <w:qFormat/>
    <w:rPr>
      <w:rFonts w:ascii="Times New Roman" w:hAnsi="Times New Roman" w:cs="Times New Roman"/>
      <w:sz w:val="28"/>
      <w:szCs w:val="28"/>
    </w:rPr>
  </w:style>
  <w:style w:type="paragraph" w:styleId="621">
    <w:name w:val="Заголовок"/>
    <w:basedOn w:val="617"/>
    <w:next w:val="622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2">
    <w:name w:val="Body Text"/>
    <w:basedOn w:val="617"/>
    <w:pPr>
      <w:spacing w:before="0" w:after="140" w:line="276" w:lineRule="auto"/>
    </w:pPr>
  </w:style>
  <w:style w:type="paragraph" w:styleId="623">
    <w:name w:val="List"/>
    <w:basedOn w:val="622"/>
    <w:rPr>
      <w:rFonts w:ascii="PT Astra Serif" w:hAnsi="PT Astra Serif" w:cs="Noto Sans Devanagari"/>
    </w:rPr>
  </w:style>
  <w:style w:type="paragraph" w:styleId="624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5">
    <w:name w:val="Указатель"/>
    <w:basedOn w:val="617"/>
    <w:qFormat/>
    <w:pPr>
      <w:suppressLineNumbers/>
    </w:pPr>
    <w:rPr>
      <w:rFonts w:ascii="PT Astra Serif" w:hAnsi="PT Astra Serif" w:cs="Noto Sans Devanagari"/>
    </w:rPr>
  </w:style>
  <w:style w:type="paragraph" w:styleId="626">
    <w:name w:val="No Spacing"/>
    <w:qFormat/>
    <w:pPr>
      <w:jc w:val="left"/>
      <w:spacing w:before="0" w:after="0"/>
      <w:widowControl/>
    </w:pPr>
    <w:rPr>
      <w:rFonts w:ascii="Calibri" w:hAnsi="Calibri" w:asciiTheme="minorHAnsi" w:hAnsiTheme="minorHAnsi" w:eastAsiaTheme="minorEastAsia" w:cstheme="minorBidi"/>
      <w:color w:val="auto"/>
      <w:sz w:val="22"/>
      <w:szCs w:val="22"/>
      <w:lang w:val="ru-RU" w:eastAsia="zh-CN" w:bidi="ar-SA"/>
    </w:rPr>
  </w:style>
  <w:style w:type="numbering" w:styleId="627" w:default="1">
    <w:name w:val="No List"/>
    <w:uiPriority w:val="99"/>
    <w:semiHidden/>
    <w:unhideWhenUsed/>
    <w:qFormat/>
  </w:style>
  <w:style w:type="table" w:styleId="628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29">
    <w:name w:val="Table Grid"/>
    <w:basedOn w:val="628"/>
    <w:uiPriority w:val="5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dc:language>ru-RU</dc:language>
  <cp:lastModifiedBy>user</cp:lastModifiedBy>
  <cp:revision>8</cp:revision>
  <dcterms:created xsi:type="dcterms:W3CDTF">2024-09-04T10:54:00Z</dcterms:created>
  <dcterms:modified xsi:type="dcterms:W3CDTF">2025-07-15T13:08:38Z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